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B3D409" w14:textId="4014656C" w:rsidR="00904D6D" w:rsidRPr="00CA50FD" w:rsidRDefault="00CA50FD" w:rsidP="00904D6D">
      <w:pPr>
        <w:jc w:val="center"/>
        <w:rPr>
          <w:b/>
          <w:bCs/>
          <w:sz w:val="32"/>
          <w:szCs w:val="32"/>
        </w:rPr>
      </w:pPr>
      <w:r w:rsidRPr="00CA50FD">
        <w:rPr>
          <w:b/>
          <w:sz w:val="32"/>
          <w:szCs w:val="32"/>
        </w:rPr>
        <w:t>Social acceptance levels of normal developed students towards disable students</w:t>
      </w:r>
    </w:p>
    <w:p w14:paraId="29DA402D" w14:textId="77777777" w:rsidR="00250A66" w:rsidRPr="003D5B84" w:rsidRDefault="00250A66" w:rsidP="00904D6D">
      <w:pPr>
        <w:jc w:val="center"/>
        <w:rPr>
          <w:b/>
          <w:bCs/>
        </w:rPr>
      </w:pPr>
    </w:p>
    <w:p w14:paraId="6DA417AE" w14:textId="09D8CBA0" w:rsidR="00904D6D" w:rsidRPr="00AB6DE2" w:rsidRDefault="002428DC" w:rsidP="00E2599A">
      <w:pPr>
        <w:jc w:val="center"/>
        <w:rPr>
          <w:sz w:val="18"/>
          <w:szCs w:val="18"/>
        </w:rPr>
      </w:pPr>
      <w:r>
        <w:rPr>
          <w:b/>
          <w:lang w:val="en-GB" w:eastAsia="en-GB"/>
        </w:rPr>
        <w:t xml:space="preserve"> </w:t>
      </w:r>
      <w:bookmarkStart w:id="0" w:name="_GoBack"/>
      <w:bookmarkEnd w:id="0"/>
    </w:p>
    <w:p w14:paraId="2637299C" w14:textId="77777777"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14:paraId="107B82E0" w14:textId="77777777" w:rsidTr="00C07BEF">
        <w:tc>
          <w:tcPr>
            <w:tcW w:w="2802" w:type="dxa"/>
            <w:tcBorders>
              <w:top w:val="double" w:sz="4" w:space="0" w:color="auto"/>
              <w:left w:val="nil"/>
              <w:bottom w:val="single" w:sz="4" w:space="0" w:color="auto"/>
              <w:right w:val="nil"/>
            </w:tcBorders>
          </w:tcPr>
          <w:p w14:paraId="2D43FCAC" w14:textId="77777777"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24411266"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6F6BAA92" w14:textId="72B1A0F8" w:rsidR="00957C11" w:rsidRPr="00957C11" w:rsidRDefault="00957C11" w:rsidP="00770389">
            <w:pPr>
              <w:spacing w:before="120"/>
              <w:rPr>
                <w:color w:val="000000"/>
                <w:sz w:val="24"/>
                <w:szCs w:val="24"/>
              </w:rPr>
            </w:pPr>
            <w:r w:rsidRPr="00957C11">
              <w:rPr>
                <w:b/>
                <w:bCs/>
                <w:iCs/>
                <w:color w:val="000000"/>
              </w:rPr>
              <w:t xml:space="preserve">ABSTRACT </w:t>
            </w:r>
          </w:p>
        </w:tc>
      </w:tr>
      <w:tr w:rsidR="00941203" w14:paraId="025CD3CB" w14:textId="77777777" w:rsidTr="00C07BEF">
        <w:trPr>
          <w:trHeight w:val="1268"/>
        </w:trPr>
        <w:tc>
          <w:tcPr>
            <w:tcW w:w="2802" w:type="dxa"/>
            <w:tcBorders>
              <w:top w:val="single" w:sz="4" w:space="0" w:color="auto"/>
              <w:left w:val="nil"/>
              <w:bottom w:val="single" w:sz="4" w:space="0" w:color="auto"/>
              <w:right w:val="nil"/>
            </w:tcBorders>
          </w:tcPr>
          <w:p w14:paraId="6D588B23" w14:textId="77777777" w:rsidR="00941203" w:rsidRPr="007F286F" w:rsidRDefault="00941203" w:rsidP="00941203">
            <w:pPr>
              <w:spacing w:before="120" w:after="120"/>
              <w:jc w:val="both"/>
              <w:rPr>
                <w:b/>
                <w:i/>
              </w:rPr>
            </w:pPr>
            <w:r w:rsidRPr="007F286F">
              <w:rPr>
                <w:b/>
                <w:i/>
              </w:rPr>
              <w:t>Article history:</w:t>
            </w:r>
          </w:p>
          <w:p w14:paraId="78DEADA8" w14:textId="77777777" w:rsidR="00941203" w:rsidRDefault="00941203" w:rsidP="00957C11">
            <w:pPr>
              <w:jc w:val="both"/>
            </w:pPr>
            <w:r w:rsidRPr="00957C11">
              <w:t>Received</w:t>
            </w:r>
            <w:r>
              <w:t xml:space="preserve"> </w:t>
            </w:r>
            <w:r w:rsidR="0085352C">
              <w:t>Jun</w:t>
            </w:r>
            <w:r w:rsidR="00FF3922">
              <w:t xml:space="preserve"> 9</w:t>
            </w:r>
            <w:r>
              <w:t>, 201</w:t>
            </w:r>
            <w:r w:rsidR="00DC1052">
              <w:t>8</w:t>
            </w:r>
          </w:p>
          <w:p w14:paraId="11B8EE42" w14:textId="77777777" w:rsidR="00941203" w:rsidRDefault="00941203" w:rsidP="00957C11">
            <w:pPr>
              <w:jc w:val="both"/>
            </w:pPr>
            <w:r>
              <w:t xml:space="preserve">Revised </w:t>
            </w:r>
            <w:r w:rsidR="0085352C">
              <w:t>Nov</w:t>
            </w:r>
            <w:r w:rsidR="00091730">
              <w:t xml:space="preserve"> 2</w:t>
            </w:r>
            <w:r w:rsidR="0085352C">
              <w:t>0</w:t>
            </w:r>
            <w:r>
              <w:t>, 201</w:t>
            </w:r>
            <w:r w:rsidR="00DC1052">
              <w:t>8</w:t>
            </w:r>
          </w:p>
          <w:p w14:paraId="7E9926ED" w14:textId="77777777" w:rsidR="00941203" w:rsidRDefault="00941203" w:rsidP="00957C11">
            <w:pPr>
              <w:jc w:val="both"/>
            </w:pPr>
            <w:r>
              <w:t xml:space="preserve">Accepted </w:t>
            </w:r>
            <w:r w:rsidR="0085352C">
              <w:t>Dec 11</w:t>
            </w:r>
            <w:r>
              <w:t>, 201</w:t>
            </w:r>
            <w:r w:rsidR="00DC1052">
              <w:t>8</w:t>
            </w:r>
          </w:p>
          <w:p w14:paraId="547740D7" w14:textId="77777777" w:rsidR="00941203" w:rsidRPr="00957C11" w:rsidRDefault="00941203" w:rsidP="00941203">
            <w:pPr>
              <w:jc w:val="both"/>
            </w:pPr>
          </w:p>
        </w:tc>
        <w:tc>
          <w:tcPr>
            <w:tcW w:w="283" w:type="dxa"/>
            <w:vMerge w:val="restart"/>
            <w:tcBorders>
              <w:top w:val="nil"/>
              <w:left w:val="nil"/>
              <w:bottom w:val="nil"/>
              <w:right w:val="nil"/>
            </w:tcBorders>
          </w:tcPr>
          <w:p w14:paraId="7DFF63EC"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49A9638C" w14:textId="11620301" w:rsidR="00941203" w:rsidRPr="00C04229" w:rsidRDefault="00812E82" w:rsidP="00726601">
            <w:pPr>
              <w:jc w:val="both"/>
              <w:rPr>
                <w:sz w:val="18"/>
                <w:szCs w:val="18"/>
                <w:lang w:val="en-GB" w:eastAsia="en-GB"/>
              </w:rPr>
            </w:pPr>
            <w:r w:rsidRPr="00812E82">
              <w:rPr>
                <w:sz w:val="18"/>
                <w:szCs w:val="18"/>
                <w:lang w:val="en-GB" w:eastAsia="en-GB"/>
              </w:rPr>
              <w:t>In this study, it is aimed to examine whether there is a significant difference between the social acceptance levels of the normally developing middle school students towards students with disability according to the variables of gender, grade level, number of siblings, income level and whether there are individuals with disability in the family. This study was conducted in overall scanning model with appropriate sampling model. The population of this research consists of 6</w:t>
            </w:r>
            <w:r w:rsidRPr="009F67EB">
              <w:rPr>
                <w:sz w:val="18"/>
                <w:szCs w:val="18"/>
                <w:vertAlign w:val="superscript"/>
                <w:lang w:val="en-GB" w:eastAsia="en-GB"/>
              </w:rPr>
              <w:t>th</w:t>
            </w:r>
            <w:r w:rsidRPr="00812E82">
              <w:rPr>
                <w:sz w:val="18"/>
                <w:szCs w:val="18"/>
                <w:lang w:val="en-GB" w:eastAsia="en-GB"/>
              </w:rPr>
              <w:t xml:space="preserve"> and 7</w:t>
            </w:r>
            <w:r w:rsidRPr="009F67EB">
              <w:rPr>
                <w:sz w:val="18"/>
                <w:szCs w:val="18"/>
                <w:vertAlign w:val="superscript"/>
                <w:lang w:val="en-GB" w:eastAsia="en-GB"/>
              </w:rPr>
              <w:t>th</w:t>
            </w:r>
            <w:r w:rsidRPr="00812E82">
              <w:rPr>
                <w:sz w:val="18"/>
                <w:szCs w:val="18"/>
                <w:lang w:val="en-GB" w:eastAsia="en-GB"/>
              </w:rPr>
              <w:t xml:space="preserve"> grade students in 3 secondary schools in the city centre of </w:t>
            </w:r>
            <w:proofErr w:type="spellStart"/>
            <w:r w:rsidRPr="00812E82">
              <w:rPr>
                <w:sz w:val="18"/>
                <w:szCs w:val="18"/>
                <w:lang w:val="en-GB" w:eastAsia="en-GB"/>
              </w:rPr>
              <w:t>Burdur</w:t>
            </w:r>
            <w:proofErr w:type="spellEnd"/>
            <w:r w:rsidRPr="00812E82">
              <w:rPr>
                <w:sz w:val="18"/>
                <w:szCs w:val="18"/>
                <w:lang w:val="en-GB" w:eastAsia="en-GB"/>
              </w:rPr>
              <w:t xml:space="preserve"> in the 2019-2020 academic year and associated to the Ministry of National Education. The sample of the research consists of 220 students, 130 of whom are female (59.1%), 90 of which are male (40.9%). The "Social Acceptance Scale" was used to collect the data. One-way analysis of variance (ANOVA), t, were calculated by using test techniques. As a result of the study, in general when the results of the study were evaluated, it was seen that the average score of "peer attitude" of female students was higher than male students. No significant difference was found between the total scores of the social acceptance scale subscales, "social skills" and "student behaviour" subscales and "social acceptance scale" according to the grade level of students with normal development. According to the number of siblings of the participants, a significant difference was found between the "student behaviour" subscale of the social acceptance scale and the total score averages of the "social acceptance scale".</w:t>
            </w:r>
          </w:p>
        </w:tc>
      </w:tr>
      <w:tr w:rsidR="00941203" w14:paraId="0AEDC5D8" w14:textId="77777777" w:rsidTr="00C07BEF">
        <w:trPr>
          <w:trHeight w:val="1231"/>
        </w:trPr>
        <w:tc>
          <w:tcPr>
            <w:tcW w:w="2802" w:type="dxa"/>
            <w:vMerge w:val="restart"/>
            <w:tcBorders>
              <w:top w:val="single" w:sz="4" w:space="0" w:color="auto"/>
              <w:left w:val="nil"/>
              <w:bottom w:val="single" w:sz="4" w:space="0" w:color="auto"/>
              <w:right w:val="nil"/>
            </w:tcBorders>
          </w:tcPr>
          <w:p w14:paraId="3E35D5BC" w14:textId="77777777" w:rsidR="00941203" w:rsidRPr="007F286F" w:rsidRDefault="00941203" w:rsidP="00941203">
            <w:pPr>
              <w:spacing w:before="120" w:after="120"/>
              <w:jc w:val="both"/>
              <w:rPr>
                <w:b/>
                <w:i/>
              </w:rPr>
            </w:pPr>
            <w:r w:rsidRPr="007F286F">
              <w:rPr>
                <w:b/>
                <w:i/>
              </w:rPr>
              <w:t>Keyword</w:t>
            </w:r>
            <w:r w:rsidR="004305E7">
              <w:rPr>
                <w:b/>
                <w:i/>
              </w:rPr>
              <w:t>s</w:t>
            </w:r>
            <w:r w:rsidRPr="007F286F">
              <w:rPr>
                <w:b/>
                <w:i/>
              </w:rPr>
              <w:t>:</w:t>
            </w:r>
          </w:p>
          <w:p w14:paraId="296E814F" w14:textId="77777777" w:rsidR="00F21853" w:rsidRDefault="00F21853" w:rsidP="00941203">
            <w:pPr>
              <w:jc w:val="both"/>
            </w:pPr>
            <w:r>
              <w:t xml:space="preserve">Disabled individual </w:t>
            </w:r>
          </w:p>
          <w:p w14:paraId="7D120522" w14:textId="77777777" w:rsidR="00F21853" w:rsidRDefault="00F21853" w:rsidP="00941203">
            <w:pPr>
              <w:jc w:val="both"/>
            </w:pPr>
            <w:r>
              <w:t>S</w:t>
            </w:r>
            <w:r w:rsidRPr="00ED0A64">
              <w:t>ocial acceptance</w:t>
            </w:r>
            <w:r>
              <w:t xml:space="preserve"> </w:t>
            </w:r>
          </w:p>
          <w:p w14:paraId="2E833F3D" w14:textId="77777777" w:rsidR="00F21853" w:rsidRDefault="00F21853" w:rsidP="00941203">
            <w:pPr>
              <w:jc w:val="both"/>
            </w:pPr>
            <w:r>
              <w:t>S</w:t>
            </w:r>
            <w:r w:rsidRPr="00ED0A64">
              <w:t>elf-esteem</w:t>
            </w:r>
            <w:r>
              <w:t xml:space="preserve"> </w:t>
            </w:r>
          </w:p>
          <w:p w14:paraId="6C1C0A3E" w14:textId="77777777" w:rsidR="00F21853" w:rsidRDefault="00F21853" w:rsidP="00941203">
            <w:pPr>
              <w:jc w:val="both"/>
            </w:pPr>
            <w:r>
              <w:t xml:space="preserve">Secondary school students </w:t>
            </w:r>
          </w:p>
          <w:p w14:paraId="25A89BA9" w14:textId="4C86AE9C" w:rsidR="00941203" w:rsidRPr="007F286F" w:rsidRDefault="00941203" w:rsidP="00941203">
            <w:pPr>
              <w:jc w:val="both"/>
              <w:rPr>
                <w:b/>
                <w:i/>
              </w:rPr>
            </w:pPr>
          </w:p>
        </w:tc>
        <w:tc>
          <w:tcPr>
            <w:tcW w:w="283" w:type="dxa"/>
            <w:vMerge/>
            <w:tcBorders>
              <w:top w:val="nil"/>
              <w:left w:val="nil"/>
              <w:bottom w:val="nil"/>
              <w:right w:val="nil"/>
            </w:tcBorders>
          </w:tcPr>
          <w:p w14:paraId="50685A11" w14:textId="77777777" w:rsidR="00941203" w:rsidRDefault="00941203" w:rsidP="00957C11">
            <w:pPr>
              <w:spacing w:before="120"/>
              <w:jc w:val="both"/>
            </w:pPr>
          </w:p>
        </w:tc>
        <w:tc>
          <w:tcPr>
            <w:tcW w:w="5812" w:type="dxa"/>
            <w:vMerge/>
            <w:tcBorders>
              <w:top w:val="nil"/>
              <w:left w:val="nil"/>
              <w:bottom w:val="nil"/>
              <w:right w:val="nil"/>
            </w:tcBorders>
          </w:tcPr>
          <w:p w14:paraId="4E541671" w14:textId="77777777" w:rsidR="00941203" w:rsidRPr="00957C11" w:rsidRDefault="00941203" w:rsidP="00957C11">
            <w:pPr>
              <w:spacing w:before="120"/>
              <w:jc w:val="both"/>
              <w:rPr>
                <w:iCs/>
                <w:color w:val="000000"/>
                <w:sz w:val="18"/>
                <w:szCs w:val="18"/>
              </w:rPr>
            </w:pPr>
          </w:p>
        </w:tc>
      </w:tr>
      <w:tr w:rsidR="00941203" w14:paraId="36ECDD65" w14:textId="77777777" w:rsidTr="00C07BEF">
        <w:trPr>
          <w:trHeight w:val="70"/>
        </w:trPr>
        <w:tc>
          <w:tcPr>
            <w:tcW w:w="2802" w:type="dxa"/>
            <w:vMerge/>
            <w:tcBorders>
              <w:top w:val="single" w:sz="4" w:space="0" w:color="auto"/>
              <w:left w:val="nil"/>
              <w:bottom w:val="single" w:sz="4" w:space="0" w:color="auto"/>
              <w:right w:val="nil"/>
            </w:tcBorders>
          </w:tcPr>
          <w:p w14:paraId="5ECBAC4F"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469E3F6C" w14:textId="77777777" w:rsidR="00941203" w:rsidRDefault="00941203" w:rsidP="00957C11">
            <w:pPr>
              <w:spacing w:before="120"/>
              <w:jc w:val="both"/>
            </w:pPr>
          </w:p>
        </w:tc>
        <w:tc>
          <w:tcPr>
            <w:tcW w:w="5812" w:type="dxa"/>
            <w:tcBorders>
              <w:top w:val="nil"/>
              <w:left w:val="nil"/>
              <w:bottom w:val="single" w:sz="4" w:space="0" w:color="auto"/>
              <w:right w:val="nil"/>
            </w:tcBorders>
          </w:tcPr>
          <w:p w14:paraId="3FF3DB37" w14:textId="77777777" w:rsidR="004C08DF" w:rsidRDefault="004C08DF" w:rsidP="004C08DF">
            <w:pPr>
              <w:spacing w:before="120" w:after="120"/>
              <w:jc w:val="right"/>
              <w:rPr>
                <w:i/>
                <w:iCs/>
                <w:color w:val="000000"/>
                <w:sz w:val="18"/>
                <w:szCs w:val="18"/>
              </w:rPr>
            </w:pPr>
            <w:r>
              <w:rPr>
                <w:i/>
                <w:iCs/>
                <w:color w:val="000000"/>
                <w:sz w:val="18"/>
                <w:szCs w:val="18"/>
              </w:rPr>
              <w:t xml:space="preserve">This is an open access article under the </w:t>
            </w:r>
            <w:hyperlink r:id="rId8" w:history="1">
              <w:r>
                <w:rPr>
                  <w:rStyle w:val="Hyperlink"/>
                  <w:i/>
                  <w:iCs/>
                  <w:sz w:val="18"/>
                  <w:szCs w:val="18"/>
                </w:rPr>
                <w:t>CC BY-SA</w:t>
              </w:r>
            </w:hyperlink>
            <w:r>
              <w:rPr>
                <w:i/>
                <w:iCs/>
                <w:color w:val="000000"/>
                <w:sz w:val="18"/>
                <w:szCs w:val="18"/>
              </w:rPr>
              <w:t xml:space="preserve"> license.</w:t>
            </w:r>
          </w:p>
          <w:p w14:paraId="092DA3AD" w14:textId="77777777" w:rsidR="00941203" w:rsidRPr="00941203" w:rsidRDefault="004C08DF" w:rsidP="004C08DF">
            <w:pPr>
              <w:spacing w:before="120" w:after="120"/>
              <w:jc w:val="right"/>
              <w:rPr>
                <w:i/>
                <w:iCs/>
                <w:color w:val="000000"/>
                <w:sz w:val="18"/>
                <w:szCs w:val="18"/>
              </w:rPr>
            </w:pPr>
            <w:r>
              <w:rPr>
                <w:noProof/>
                <w:lang w:val="tr-TR" w:eastAsia="tr-TR"/>
              </w:rPr>
              <w:drawing>
                <wp:inline distT="0" distB="0" distL="0" distR="0" wp14:anchorId="58ADD768" wp14:editId="202DA6F2">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7F286F" w14:paraId="29927B44" w14:textId="77777777" w:rsidTr="00C07BEF">
        <w:tc>
          <w:tcPr>
            <w:tcW w:w="8897" w:type="dxa"/>
            <w:gridSpan w:val="3"/>
            <w:tcBorders>
              <w:top w:val="nil"/>
              <w:left w:val="nil"/>
              <w:bottom w:val="double" w:sz="4" w:space="0" w:color="auto"/>
              <w:right w:val="nil"/>
            </w:tcBorders>
          </w:tcPr>
          <w:p w14:paraId="37F63259" w14:textId="77777777" w:rsidR="007F286F" w:rsidRPr="007F286F" w:rsidRDefault="007F286F" w:rsidP="00941203">
            <w:pPr>
              <w:spacing w:before="120" w:after="120"/>
              <w:rPr>
                <w:b/>
                <w:i/>
              </w:rPr>
            </w:pPr>
            <w:r w:rsidRPr="007F286F">
              <w:rPr>
                <w:b/>
                <w:i/>
              </w:rPr>
              <w:t>Corresponding Author:</w:t>
            </w:r>
          </w:p>
          <w:p w14:paraId="7AF6652F" w14:textId="24B3A349" w:rsidR="007F286F" w:rsidRDefault="00504D61" w:rsidP="007F286F">
            <w:proofErr w:type="spellStart"/>
            <w:r>
              <w:t>Nergüz</w:t>
            </w:r>
            <w:proofErr w:type="spellEnd"/>
            <w:r>
              <w:t xml:space="preserve"> </w:t>
            </w:r>
            <w:proofErr w:type="spellStart"/>
            <w:r>
              <w:t>Bulut</w:t>
            </w:r>
            <w:proofErr w:type="spellEnd"/>
            <w:r>
              <w:t xml:space="preserve"> </w:t>
            </w:r>
            <w:proofErr w:type="spellStart"/>
            <w:r>
              <w:t>Serin</w:t>
            </w:r>
            <w:proofErr w:type="spellEnd"/>
            <w:r w:rsidR="007F286F">
              <w:t xml:space="preserve">, </w:t>
            </w:r>
          </w:p>
          <w:p w14:paraId="5994A8A5" w14:textId="7272085E" w:rsidR="007F286F" w:rsidRPr="00504D61" w:rsidRDefault="00504D61" w:rsidP="007F286F">
            <w:r w:rsidRPr="00504D61">
              <w:rPr>
                <w:rFonts w:eastAsia="Calibri"/>
              </w:rPr>
              <w:t xml:space="preserve">Department of </w:t>
            </w:r>
            <w:hyperlink r:id="rId10" w:history="1">
              <w:r w:rsidRPr="00504D61">
                <w:rPr>
                  <w:lang w:eastAsia="tr-TR"/>
                </w:rPr>
                <w:t>Guidance and Psychological Counseling</w:t>
              </w:r>
            </w:hyperlink>
            <w:r w:rsidR="00941203" w:rsidRPr="00504D61">
              <w:t>,</w:t>
            </w:r>
          </w:p>
          <w:p w14:paraId="3716A36D" w14:textId="47B8C646" w:rsidR="007F286F" w:rsidRPr="00504D61" w:rsidRDefault="00504D61" w:rsidP="007F286F">
            <w:r w:rsidRPr="00504D61">
              <w:rPr>
                <w:rFonts w:eastAsia="Calibri"/>
              </w:rPr>
              <w:t xml:space="preserve">European University of </w:t>
            </w:r>
            <w:proofErr w:type="spellStart"/>
            <w:r w:rsidRPr="00504D61">
              <w:rPr>
                <w:rFonts w:eastAsia="Calibri"/>
              </w:rPr>
              <w:t>Lefke</w:t>
            </w:r>
            <w:proofErr w:type="spellEnd"/>
            <w:r w:rsidR="00941203" w:rsidRPr="00504D61">
              <w:t>,</w:t>
            </w:r>
          </w:p>
          <w:p w14:paraId="7A884C22" w14:textId="46A8CFFC" w:rsidR="007F286F" w:rsidRDefault="009F67EB" w:rsidP="007F286F">
            <w:proofErr w:type="spellStart"/>
            <w:r>
              <w:t>Lefke</w:t>
            </w:r>
            <w:proofErr w:type="spellEnd"/>
            <w:r w:rsidR="00E908B2" w:rsidRPr="00E908B2">
              <w:t>, Northern Cyprus TR-10 Mersin, Turkey, 99010</w:t>
            </w:r>
            <w:r w:rsidR="00941203">
              <w:t>.</w:t>
            </w:r>
          </w:p>
          <w:p w14:paraId="59DDB5C0" w14:textId="05F1BAAF" w:rsidR="00941203" w:rsidRPr="00957C11" w:rsidRDefault="00941203" w:rsidP="00AB6DE2">
            <w:pPr>
              <w:spacing w:after="120"/>
              <w:rPr>
                <w:color w:val="000000"/>
                <w:sz w:val="18"/>
                <w:szCs w:val="18"/>
              </w:rPr>
            </w:pPr>
            <w:r>
              <w:t xml:space="preserve">Email: </w:t>
            </w:r>
            <w:hyperlink r:id="rId11" w:history="1">
              <w:r w:rsidR="00AB6DE2" w:rsidRPr="008274E1">
                <w:rPr>
                  <w:rStyle w:val="Hyperlink"/>
                </w:rPr>
                <w:t>nserin@eul.edu.tr</w:t>
              </w:r>
            </w:hyperlink>
            <w:r w:rsidR="00AB6DE2">
              <w:t xml:space="preserve"> </w:t>
            </w:r>
          </w:p>
        </w:tc>
      </w:tr>
    </w:tbl>
    <w:p w14:paraId="738FA47C" w14:textId="77777777" w:rsidR="00957C11" w:rsidRDefault="00957C11" w:rsidP="00957C11">
      <w:pPr>
        <w:jc w:val="both"/>
      </w:pPr>
    </w:p>
    <w:p w14:paraId="68A61F82" w14:textId="77777777" w:rsidR="00C07BEF" w:rsidRPr="00957C11" w:rsidRDefault="00C07BEF" w:rsidP="00957C11">
      <w:pPr>
        <w:jc w:val="both"/>
      </w:pPr>
    </w:p>
    <w:p w14:paraId="48139ECF" w14:textId="303274CA"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Pr>
          <w:b/>
          <w:bCs/>
        </w:rPr>
        <w:t xml:space="preserve"> </w:t>
      </w:r>
    </w:p>
    <w:p w14:paraId="5CBF98CF" w14:textId="432F1090" w:rsidR="002E145A" w:rsidRPr="002E145A" w:rsidRDefault="002E145A" w:rsidP="002E145A">
      <w:pPr>
        <w:ind w:firstLine="709"/>
        <w:jc w:val="both"/>
        <w:rPr>
          <w:lang w:val="en-GB" w:eastAsia="en-GB"/>
        </w:rPr>
      </w:pPr>
      <w:r w:rsidRPr="002E145A">
        <w:rPr>
          <w:lang w:val="en-GB" w:eastAsia="en-GB"/>
        </w:rPr>
        <w:t xml:space="preserve">Different special education services are provided according to the development and learning characteristics of individuals with disability to continue their lives independently in the society. It covers different educational services, from the students with disability studying with their peers through normal growth to living by care in residential institutions </w:t>
      </w:r>
      <w:r w:rsidR="00E93E26">
        <w:rPr>
          <w:lang w:val="en-GB" w:eastAsia="en-GB"/>
        </w:rPr>
        <w:t>[1]</w:t>
      </w:r>
      <w:r w:rsidRPr="002E145A">
        <w:rPr>
          <w:lang w:val="en-GB" w:eastAsia="en-GB"/>
        </w:rPr>
        <w:t xml:space="preserve">. It is defined as social acceptance that normally developing students have positive attitudes towards students with special needs and accept them as one of them </w:t>
      </w:r>
      <w:r w:rsidR="00602AEC">
        <w:rPr>
          <w:lang w:val="en-GB" w:eastAsia="en-GB"/>
        </w:rPr>
        <w:t>[2]</w:t>
      </w:r>
      <w:r w:rsidRPr="002E145A">
        <w:rPr>
          <w:lang w:val="en-GB" w:eastAsia="en-GB"/>
        </w:rPr>
        <w:t>.</w:t>
      </w:r>
    </w:p>
    <w:p w14:paraId="3D561A09" w14:textId="3DAF736A" w:rsidR="002E145A" w:rsidRPr="002E145A" w:rsidRDefault="002E145A" w:rsidP="002E145A">
      <w:pPr>
        <w:ind w:firstLine="709"/>
        <w:jc w:val="both"/>
        <w:rPr>
          <w:lang w:val="en-GB" w:eastAsia="en-GB"/>
        </w:rPr>
      </w:pPr>
      <w:r w:rsidRPr="002E145A">
        <w:rPr>
          <w:lang w:val="en-GB" w:eastAsia="en-GB"/>
        </w:rPr>
        <w:t xml:space="preserve">The purpose of integration practices is not only to increase the academic skills of the students with disable students, but also to increase their social skills and social acceptance, as well as to improve their empathic skills and positive self-esteem </w:t>
      </w:r>
      <w:r w:rsidR="007410BF">
        <w:rPr>
          <w:lang w:val="en-GB" w:eastAsia="en-GB"/>
        </w:rPr>
        <w:t>[3]</w:t>
      </w:r>
      <w:r w:rsidRPr="002E145A">
        <w:rPr>
          <w:lang w:val="en-GB" w:eastAsia="en-GB"/>
        </w:rPr>
        <w:t xml:space="preserve">. There are studies on the effect of inclusive educational practices on the social acceptance of students with special needs. Determining the social acceptance levels of students with disable students who participate in mainstreaming applications when researches on the subject are </w:t>
      </w:r>
      <w:r w:rsidR="00154BE1">
        <w:rPr>
          <w:lang w:val="en-GB" w:eastAsia="en-GB"/>
        </w:rPr>
        <w:t xml:space="preserve">examined </w:t>
      </w:r>
      <w:r w:rsidR="005517D6">
        <w:rPr>
          <w:lang w:val="en-GB" w:eastAsia="en-GB"/>
        </w:rPr>
        <w:t>[4</w:t>
      </w:r>
      <w:r w:rsidR="00154BE1">
        <w:rPr>
          <w:lang w:val="en-GB" w:eastAsia="en-GB"/>
        </w:rPr>
        <w:t>, 5</w:t>
      </w:r>
      <w:r w:rsidR="005517D6">
        <w:rPr>
          <w:lang w:val="en-GB" w:eastAsia="en-GB"/>
        </w:rPr>
        <w:t>]</w:t>
      </w:r>
      <w:r w:rsidRPr="002E145A">
        <w:rPr>
          <w:lang w:val="en-GB" w:eastAsia="en-GB"/>
        </w:rPr>
        <w:t>. It is seen that researches have been conducted to inform normally growing individuals about disable students and the relationship between this situation and the social accep</w:t>
      </w:r>
      <w:r w:rsidR="00A228B2">
        <w:rPr>
          <w:lang w:val="en-GB" w:eastAsia="en-GB"/>
        </w:rPr>
        <w:t xml:space="preserve">tance levels of these students </w:t>
      </w:r>
      <w:r w:rsidR="00AD3188">
        <w:rPr>
          <w:lang w:val="en-GB" w:eastAsia="en-GB"/>
        </w:rPr>
        <w:t>[6</w:t>
      </w:r>
      <w:r w:rsidR="00AC003F">
        <w:rPr>
          <w:lang w:val="en-GB" w:eastAsia="en-GB"/>
        </w:rPr>
        <w:t>, 7,</w:t>
      </w:r>
      <w:r w:rsidR="00A228B2">
        <w:rPr>
          <w:lang w:val="en-GB" w:eastAsia="en-GB"/>
        </w:rPr>
        <w:t xml:space="preserve"> </w:t>
      </w:r>
      <w:proofErr w:type="gramStart"/>
      <w:r w:rsidR="00A228B2">
        <w:rPr>
          <w:lang w:val="en-GB" w:eastAsia="en-GB"/>
        </w:rPr>
        <w:t>8</w:t>
      </w:r>
      <w:proofErr w:type="gramEnd"/>
      <w:r w:rsidR="00AD3188">
        <w:rPr>
          <w:lang w:val="en-GB" w:eastAsia="en-GB"/>
        </w:rPr>
        <w:t>]</w:t>
      </w:r>
      <w:r w:rsidRPr="002E145A">
        <w:rPr>
          <w:lang w:val="en-GB" w:eastAsia="en-GB"/>
        </w:rPr>
        <w:t xml:space="preserve">. </w:t>
      </w:r>
      <w:r w:rsidRPr="002E145A">
        <w:rPr>
          <w:lang w:eastAsia="en-GB"/>
        </w:rPr>
        <w:t xml:space="preserve">The exceptionally gifted students have frequently verbal arguments and this arises mainly from their </w:t>
      </w:r>
      <w:r w:rsidRPr="002E145A">
        <w:rPr>
          <w:lang w:eastAsia="en-GB"/>
        </w:rPr>
        <w:lastRenderedPageBreak/>
        <w:t>competitive personalities. The students specifies that the controversies they have may be solved with the face to face communication and this situation has no influence either on their courses or friendship</w:t>
      </w:r>
      <w:r w:rsidR="00EB2862">
        <w:rPr>
          <w:lang w:val="en-GB" w:eastAsia="en-GB"/>
        </w:rPr>
        <w:t xml:space="preserve"> </w:t>
      </w:r>
      <w:r w:rsidR="00A228B2">
        <w:rPr>
          <w:lang w:val="en-GB" w:eastAsia="en-GB"/>
        </w:rPr>
        <w:t>[8</w:t>
      </w:r>
      <w:r w:rsidR="00EB2862">
        <w:rPr>
          <w:lang w:val="en-GB" w:eastAsia="en-GB"/>
        </w:rPr>
        <w:t>, 9</w:t>
      </w:r>
      <w:r w:rsidR="00A228B2">
        <w:rPr>
          <w:lang w:val="en-GB" w:eastAsia="en-GB"/>
        </w:rPr>
        <w:t>]</w:t>
      </w:r>
      <w:r w:rsidRPr="002E145A">
        <w:rPr>
          <w:lang w:val="en-GB" w:eastAsia="en-GB"/>
        </w:rPr>
        <w:t xml:space="preserve">. It is recommended that all primary teachers consider the best practice of social support within their own classroom, and further research be carried out to investigate best practice in fostering and supporting the social growth and needs of students with ASD </w:t>
      </w:r>
      <w:r w:rsidR="00BF4ED9">
        <w:rPr>
          <w:lang w:val="en-GB" w:eastAsia="en-GB"/>
        </w:rPr>
        <w:t>[10]</w:t>
      </w:r>
      <w:r w:rsidRPr="002E145A">
        <w:rPr>
          <w:shd w:val="clear" w:color="auto" w:fill="FFFFFF"/>
          <w:lang w:val="en-GB" w:eastAsia="en-GB"/>
        </w:rPr>
        <w:t>.</w:t>
      </w:r>
      <w:r w:rsidRPr="002E145A">
        <w:rPr>
          <w:lang w:val="en-GB" w:eastAsia="en-GB"/>
        </w:rPr>
        <w:t xml:space="preserve"> </w:t>
      </w:r>
      <w:proofErr w:type="spellStart"/>
      <w:r w:rsidRPr="002E145A">
        <w:rPr>
          <w:lang w:val="en-GB" w:eastAsia="en-GB"/>
        </w:rPr>
        <w:t>Kahveci</w:t>
      </w:r>
      <w:proofErr w:type="spellEnd"/>
      <w:r w:rsidRPr="002E145A">
        <w:rPr>
          <w:lang w:val="en-GB" w:eastAsia="en-GB"/>
        </w:rPr>
        <w:t xml:space="preserve"> </w:t>
      </w:r>
      <w:r w:rsidR="007801F3">
        <w:rPr>
          <w:lang w:val="en-GB" w:eastAsia="en-GB"/>
        </w:rPr>
        <w:t xml:space="preserve">[11] </w:t>
      </w:r>
      <w:r w:rsidRPr="002E145A">
        <w:rPr>
          <w:lang w:val="en-GB" w:eastAsia="en-GB"/>
        </w:rPr>
        <w:t>t</w:t>
      </w:r>
      <w:r w:rsidRPr="002E145A">
        <w:rPr>
          <w:shd w:val="clear" w:color="auto" w:fill="FFFFFF"/>
          <w:lang w:val="en-GB" w:eastAsia="en-GB"/>
        </w:rPr>
        <w:t xml:space="preserve">he Proactive Model emphasizes the conceptual, operational, evaluative, public relations, and personal development of student </w:t>
      </w:r>
      <w:proofErr w:type="spellStart"/>
      <w:r w:rsidRPr="002E145A">
        <w:rPr>
          <w:shd w:val="clear" w:color="auto" w:fill="FFFFFF"/>
          <w:lang w:val="en-GB" w:eastAsia="en-GB"/>
        </w:rPr>
        <w:t>counselors</w:t>
      </w:r>
      <w:proofErr w:type="spellEnd"/>
      <w:r w:rsidRPr="002E145A">
        <w:rPr>
          <w:shd w:val="clear" w:color="auto" w:fill="FFFFFF"/>
          <w:lang w:val="en-GB" w:eastAsia="en-GB"/>
        </w:rPr>
        <w:t>. These components are sequenced, interrelated, and precede one another in significance during implementation.</w:t>
      </w:r>
    </w:p>
    <w:p w14:paraId="2B31A722" w14:textId="27D70C57" w:rsidR="002E145A" w:rsidRPr="002E145A" w:rsidRDefault="002E145A" w:rsidP="002E145A">
      <w:pPr>
        <w:ind w:firstLine="709"/>
        <w:jc w:val="both"/>
        <w:rPr>
          <w:lang w:val="en-GB" w:eastAsia="en-GB"/>
        </w:rPr>
      </w:pPr>
      <w:r w:rsidRPr="002E145A">
        <w:rPr>
          <w:color w:val="000000"/>
          <w:lang w:val="en-GB"/>
        </w:rPr>
        <w:t xml:space="preserve">Social acceptance is defined as the acceptance of individuals to their groups and relationships by others, being chosen as a group member for assembly activities, and being adopted by their friends </w:t>
      </w:r>
      <w:r w:rsidR="00AD3188">
        <w:rPr>
          <w:color w:val="000000"/>
          <w:lang w:val="en-GB"/>
        </w:rPr>
        <w:t>[6</w:t>
      </w:r>
      <w:r w:rsidR="00F72729">
        <w:rPr>
          <w:color w:val="000000"/>
          <w:lang w:val="en-GB"/>
        </w:rPr>
        <w:t>, 12</w:t>
      </w:r>
      <w:r w:rsidR="00AD3188">
        <w:rPr>
          <w:color w:val="000000"/>
          <w:lang w:val="en-GB"/>
        </w:rPr>
        <w:t>]</w:t>
      </w:r>
      <w:r w:rsidRPr="002E145A">
        <w:rPr>
          <w:color w:val="000000"/>
          <w:lang w:val="en-GB"/>
        </w:rPr>
        <w:t xml:space="preserve">. </w:t>
      </w:r>
      <w:proofErr w:type="spellStart"/>
      <w:r w:rsidRPr="002E145A">
        <w:rPr>
          <w:color w:val="000000"/>
          <w:lang w:val="en-GB"/>
        </w:rPr>
        <w:t>Cagran</w:t>
      </w:r>
      <w:proofErr w:type="spellEnd"/>
      <w:r w:rsidRPr="002E145A">
        <w:rPr>
          <w:color w:val="000000"/>
          <w:lang w:val="en-GB"/>
        </w:rPr>
        <w:t xml:space="preserve"> and</w:t>
      </w:r>
      <w:r w:rsidRPr="002E145A">
        <w:rPr>
          <w:color w:val="000000"/>
          <w:lang w:val="tr-TR"/>
        </w:rPr>
        <w:t xml:space="preserve"> Schmidt </w:t>
      </w:r>
      <w:r w:rsidR="004531DE">
        <w:rPr>
          <w:color w:val="000000"/>
          <w:lang w:val="tr-TR"/>
        </w:rPr>
        <w:t xml:space="preserve">[13] </w:t>
      </w:r>
      <w:r w:rsidRPr="002E145A">
        <w:rPr>
          <w:color w:val="000000"/>
          <w:lang w:val="en-GB"/>
        </w:rPr>
        <w:t xml:space="preserve">show that a successful implementation of inclusion of children with special needs (SN) largely depends on the teachers' positive attitude towards it. In other words, it is expressed as social acceptance that students have positive attitudes towards disable students, see them as they are and accept their participation in their activities </w:t>
      </w:r>
      <w:r w:rsidR="00602AEC">
        <w:rPr>
          <w:color w:val="000000"/>
          <w:lang w:val="en-GB"/>
        </w:rPr>
        <w:t>[2]</w:t>
      </w:r>
      <w:r w:rsidRPr="002E145A">
        <w:rPr>
          <w:color w:val="000000"/>
          <w:lang w:val="en-GB"/>
        </w:rPr>
        <w:t>. Having social abilities does not mean that the individual will be on a social basis competent and accepted by the society</w:t>
      </w:r>
      <w:r w:rsidRPr="002E145A">
        <w:rPr>
          <w:color w:val="000000"/>
          <w:lang w:val="tr-TR"/>
        </w:rPr>
        <w:t xml:space="preserve"> </w:t>
      </w:r>
      <w:r w:rsidR="00DE771E">
        <w:rPr>
          <w:color w:val="000000"/>
          <w:lang w:val="en-GB"/>
        </w:rPr>
        <w:t>[14]</w:t>
      </w:r>
      <w:r w:rsidRPr="002E145A">
        <w:rPr>
          <w:color w:val="000000"/>
          <w:lang w:val="en-GB"/>
        </w:rPr>
        <w:t>. Social acceptance is also an important factor for the socialization of students with disabilities. On the contrary, not being accepted by their peers decreases the sense of self-confidence and causes anxious and timid behaviours to increase</w:t>
      </w:r>
      <w:r w:rsidR="007410BF">
        <w:rPr>
          <w:color w:val="000000"/>
          <w:lang w:val="en-GB"/>
        </w:rPr>
        <w:t xml:space="preserve"> [3]</w:t>
      </w:r>
      <w:r w:rsidRPr="002E145A">
        <w:rPr>
          <w:color w:val="000000"/>
          <w:lang w:val="en-GB"/>
        </w:rPr>
        <w:t>. Negative attitudes of the peers, teachers and other people actively involved in the implementation process of inclusive education of disable students may cause these individuals to experience l</w:t>
      </w:r>
      <w:r w:rsidR="00B00FD7">
        <w:rPr>
          <w:color w:val="000000"/>
          <w:lang w:val="en-GB"/>
        </w:rPr>
        <w:t xml:space="preserve">oneliness and social exclusion </w:t>
      </w:r>
      <w:r w:rsidR="00F05664">
        <w:rPr>
          <w:color w:val="000000"/>
          <w:lang w:val="en-GB"/>
        </w:rPr>
        <w:t>[15</w:t>
      </w:r>
      <w:r w:rsidR="008967A0">
        <w:rPr>
          <w:color w:val="000000"/>
          <w:lang w:val="en-GB"/>
        </w:rPr>
        <w:t>, 16</w:t>
      </w:r>
      <w:r w:rsidR="00F05664">
        <w:rPr>
          <w:color w:val="000000"/>
          <w:lang w:val="en-GB"/>
        </w:rPr>
        <w:t>]</w:t>
      </w:r>
      <w:r w:rsidRPr="002E145A">
        <w:rPr>
          <w:color w:val="000000"/>
          <w:lang w:val="en-GB"/>
        </w:rPr>
        <w:t>.</w:t>
      </w:r>
    </w:p>
    <w:p w14:paraId="2AE5915B" w14:textId="14589F71" w:rsidR="002E145A" w:rsidRPr="002E145A" w:rsidRDefault="002E145A" w:rsidP="002E145A">
      <w:pPr>
        <w:ind w:firstLine="709"/>
        <w:jc w:val="both"/>
        <w:rPr>
          <w:lang w:val="en-GB" w:eastAsia="en-GB"/>
        </w:rPr>
      </w:pPr>
      <w:r w:rsidRPr="002E145A">
        <w:rPr>
          <w:color w:val="000000"/>
          <w:lang w:val="en-GB"/>
        </w:rPr>
        <w:t>As a result of negative attitudes, teachers' not taking into account the needs of students with disable and not meeting these disabilities, focusing more on students with normal development can be considered as the most important factors that prevent the re</w:t>
      </w:r>
      <w:r w:rsidR="00FF1980">
        <w:rPr>
          <w:color w:val="000000"/>
          <w:lang w:val="en-GB"/>
        </w:rPr>
        <w:t>alization of social acceptance [17]</w:t>
      </w:r>
      <w:r w:rsidRPr="002E145A">
        <w:rPr>
          <w:color w:val="000000"/>
          <w:lang w:val="en-GB"/>
        </w:rPr>
        <w:t>. Students with disabilities may also show delays in social skills, which also affect academic achievement, compared to their peers, and these inadequacies can lead to a decrease in the level of social acceptance in the classroom with the addi</w:t>
      </w:r>
      <w:r w:rsidR="002B1AEA">
        <w:rPr>
          <w:color w:val="000000"/>
          <w:lang w:val="en-GB"/>
        </w:rPr>
        <w:t xml:space="preserve">tion of problematic behaviours </w:t>
      </w:r>
      <w:r w:rsidR="00CB23E4">
        <w:rPr>
          <w:color w:val="000000"/>
          <w:lang w:val="en-GB"/>
        </w:rPr>
        <w:t>[18]</w:t>
      </w:r>
      <w:r w:rsidRPr="002E145A">
        <w:rPr>
          <w:color w:val="000000"/>
          <w:lang w:val="en-GB"/>
        </w:rPr>
        <w:t>.</w:t>
      </w:r>
      <w:r w:rsidRPr="002E145A">
        <w:rPr>
          <w:color w:val="000000"/>
          <w:lang w:val="tr-TR"/>
        </w:rPr>
        <w:t xml:space="preserve"> </w:t>
      </w:r>
      <w:r w:rsidRPr="002E145A">
        <w:rPr>
          <w:color w:val="000000"/>
          <w:lang w:val="en-GB"/>
        </w:rPr>
        <w:t xml:space="preserve">Teachers' positive attitudes towards students with disabilities, providing them with peer support, and making environments that enable them to learn by having fun in the classroom are very important in increasing the social acceptance of those students </w:t>
      </w:r>
      <w:r w:rsidR="002B1AEA">
        <w:rPr>
          <w:color w:val="000000"/>
          <w:lang w:val="en-GB"/>
        </w:rPr>
        <w:t>[19</w:t>
      </w:r>
      <w:r w:rsidR="001A5228">
        <w:rPr>
          <w:color w:val="000000"/>
          <w:lang w:val="en-GB"/>
        </w:rPr>
        <w:t>, 20</w:t>
      </w:r>
      <w:r w:rsidR="002B1AEA">
        <w:rPr>
          <w:color w:val="000000"/>
          <w:lang w:val="en-GB"/>
        </w:rPr>
        <w:t>]</w:t>
      </w:r>
      <w:r w:rsidRPr="002E145A">
        <w:rPr>
          <w:color w:val="000000"/>
          <w:lang w:val="en-GB"/>
        </w:rPr>
        <w:t>.</w:t>
      </w:r>
      <w:r w:rsidRPr="002E145A">
        <w:rPr>
          <w:color w:val="FF0000"/>
          <w:lang w:val="tr-TR"/>
        </w:rPr>
        <w:t xml:space="preserve"> </w:t>
      </w:r>
      <w:r w:rsidRPr="002E145A">
        <w:rPr>
          <w:lang w:val="tr-TR"/>
        </w:rPr>
        <w:t xml:space="preserve">Kahveci and Serin </w:t>
      </w:r>
      <w:r w:rsidR="002D36B3">
        <w:rPr>
          <w:lang w:val="tr-TR"/>
        </w:rPr>
        <w:t>[21]</w:t>
      </w:r>
      <w:r w:rsidRPr="002E145A">
        <w:rPr>
          <w:lang w:val="tr-TR"/>
        </w:rPr>
        <w:t>, children with learning disabilities are at greater risk of being victims of sexual abuse in schools.</w:t>
      </w:r>
      <w:r w:rsidRPr="002E145A">
        <w:rPr>
          <w:color w:val="000000"/>
          <w:lang w:val="tr-TR"/>
        </w:rPr>
        <w:t xml:space="preserve"> </w:t>
      </w:r>
    </w:p>
    <w:p w14:paraId="440606E8" w14:textId="00649E82" w:rsidR="002E145A" w:rsidRPr="002E145A" w:rsidRDefault="002E145A" w:rsidP="002E145A">
      <w:pPr>
        <w:ind w:firstLine="709"/>
        <w:jc w:val="both"/>
        <w:rPr>
          <w:lang w:val="en-GB" w:eastAsia="en-GB"/>
        </w:rPr>
      </w:pPr>
      <w:r w:rsidRPr="002E145A">
        <w:rPr>
          <w:lang w:val="en-GB" w:eastAsia="en-GB"/>
        </w:rPr>
        <w:t xml:space="preserve">It is stated that appreciations to the education of students with special needs in the same environment with their coevals, their social skills develop and they develop in social, emotional and academic fields through </w:t>
      </w:r>
      <w:r w:rsidR="0087349C">
        <w:rPr>
          <w:lang w:val="en-GB" w:eastAsia="en-GB"/>
        </w:rPr>
        <w:t xml:space="preserve">the interaction they establish </w:t>
      </w:r>
      <w:r w:rsidR="005A5CE7">
        <w:rPr>
          <w:lang w:val="en-GB" w:eastAsia="en-GB"/>
        </w:rPr>
        <w:t>[22]</w:t>
      </w:r>
      <w:r w:rsidRPr="002E145A">
        <w:rPr>
          <w:lang w:val="en-GB" w:eastAsia="en-GB"/>
        </w:rPr>
        <w:t xml:space="preserve">. Families who share responsibilities related to their children are respected as important partners by experts, activities for the student are carried out jointly in a coordinated method, accordingly simplifying the process of gaining skills functionally </w:t>
      </w:r>
      <w:r w:rsidR="00C87262">
        <w:rPr>
          <w:lang w:val="en-GB" w:eastAsia="en-GB"/>
        </w:rPr>
        <w:t>[23]</w:t>
      </w:r>
      <w:r w:rsidRPr="002E145A">
        <w:rPr>
          <w:lang w:val="en-GB" w:eastAsia="en-GB"/>
        </w:rPr>
        <w:t>.</w:t>
      </w:r>
      <w:r w:rsidRPr="002E145A">
        <w:rPr>
          <w:color w:val="FF0000"/>
          <w:shd w:val="clear" w:color="auto" w:fill="FFFFFF"/>
          <w:lang w:val="en-GB" w:eastAsia="en-GB"/>
        </w:rPr>
        <w:t xml:space="preserve"> </w:t>
      </w:r>
      <w:proofErr w:type="spellStart"/>
      <w:r w:rsidRPr="002E145A">
        <w:rPr>
          <w:shd w:val="clear" w:color="auto" w:fill="FFFFFF"/>
          <w:lang w:val="en-GB" w:eastAsia="en-GB"/>
        </w:rPr>
        <w:t>Saltalı</w:t>
      </w:r>
      <w:proofErr w:type="spellEnd"/>
      <w:r w:rsidRPr="002E145A">
        <w:rPr>
          <w:shd w:val="clear" w:color="auto" w:fill="FFFFFF"/>
          <w:lang w:val="en-GB" w:eastAsia="en-GB"/>
        </w:rPr>
        <w:t xml:space="preserve"> and </w:t>
      </w:r>
      <w:proofErr w:type="spellStart"/>
      <w:r w:rsidRPr="002E145A">
        <w:rPr>
          <w:shd w:val="clear" w:color="auto" w:fill="FFFFFF"/>
          <w:lang w:val="en-GB" w:eastAsia="en-GB"/>
        </w:rPr>
        <w:t>İmir</w:t>
      </w:r>
      <w:proofErr w:type="spellEnd"/>
      <w:r w:rsidRPr="002E145A">
        <w:rPr>
          <w:shd w:val="clear" w:color="auto" w:fill="FFFFFF"/>
          <w:lang w:val="en-GB" w:eastAsia="en-GB"/>
        </w:rPr>
        <w:t xml:space="preserve"> </w:t>
      </w:r>
      <w:r w:rsidR="005A5B5E">
        <w:rPr>
          <w:shd w:val="clear" w:color="auto" w:fill="FFFFFF"/>
          <w:lang w:val="en-GB" w:eastAsia="en-GB"/>
        </w:rPr>
        <w:t>[24]</w:t>
      </w:r>
      <w:r w:rsidRPr="002E145A">
        <w:rPr>
          <w:shd w:val="clear" w:color="auto" w:fill="FFFFFF"/>
          <w:lang w:val="en-GB" w:eastAsia="en-GB"/>
        </w:rPr>
        <w:t xml:space="preserve">, </w:t>
      </w:r>
      <w:r w:rsidRPr="002E145A">
        <w:rPr>
          <w:lang w:val="en-GB" w:eastAsia="en-GB"/>
        </w:rPr>
        <w:t xml:space="preserve">the study examines children’s aggressive, </w:t>
      </w:r>
      <w:proofErr w:type="spellStart"/>
      <w:r w:rsidRPr="002E145A">
        <w:rPr>
          <w:lang w:val="en-GB" w:eastAsia="en-GB"/>
        </w:rPr>
        <w:t>prosocial</w:t>
      </w:r>
      <w:proofErr w:type="spellEnd"/>
      <w:r w:rsidRPr="002E145A">
        <w:rPr>
          <w:lang w:val="en-GB" w:eastAsia="en-GB"/>
        </w:rPr>
        <w:t xml:space="preserve"> and socially inhibited </w:t>
      </w:r>
      <w:proofErr w:type="spellStart"/>
      <w:r w:rsidRPr="002E145A">
        <w:rPr>
          <w:lang w:val="en-GB" w:eastAsia="en-GB"/>
        </w:rPr>
        <w:t>behaviors</w:t>
      </w:r>
      <w:proofErr w:type="spellEnd"/>
      <w:r w:rsidRPr="002E145A">
        <w:rPr>
          <w:lang w:val="en-GB" w:eastAsia="en-GB"/>
        </w:rPr>
        <w:t xml:space="preserve"> in association with parenting dimensions namely warmth, inductive-reasoning, obedience-demandin</w:t>
      </w:r>
      <w:r w:rsidR="008823A3">
        <w:rPr>
          <w:lang w:val="en-GB" w:eastAsia="en-GB"/>
        </w:rPr>
        <w:t xml:space="preserve">g and punitive. </w:t>
      </w:r>
      <w:proofErr w:type="spellStart"/>
      <w:r w:rsidR="008823A3">
        <w:rPr>
          <w:lang w:val="en-GB" w:eastAsia="en-GB"/>
        </w:rPr>
        <w:t>Kahveci</w:t>
      </w:r>
      <w:proofErr w:type="spellEnd"/>
      <w:r w:rsidR="008823A3">
        <w:rPr>
          <w:lang w:val="en-GB" w:eastAsia="en-GB"/>
        </w:rPr>
        <w:t xml:space="preserve"> and </w:t>
      </w:r>
      <w:proofErr w:type="spellStart"/>
      <w:r w:rsidR="008823A3">
        <w:rPr>
          <w:lang w:val="en-GB" w:eastAsia="en-GB"/>
        </w:rPr>
        <w:t>Selc</w:t>
      </w:r>
      <w:r w:rsidRPr="002E145A">
        <w:rPr>
          <w:lang w:val="en-GB" w:eastAsia="en-GB"/>
        </w:rPr>
        <w:t>uk</w:t>
      </w:r>
      <w:proofErr w:type="spellEnd"/>
      <w:r w:rsidRPr="002E145A">
        <w:rPr>
          <w:lang w:val="en-GB" w:eastAsia="en-GB"/>
        </w:rPr>
        <w:t xml:space="preserve"> </w:t>
      </w:r>
      <w:r w:rsidR="005A5B5E">
        <w:rPr>
          <w:lang w:val="en-GB" w:eastAsia="en-GB"/>
        </w:rPr>
        <w:t>[25], p</w:t>
      </w:r>
      <w:r w:rsidRPr="002E145A">
        <w:rPr>
          <w:lang w:val="en-GB" w:eastAsia="en-GB"/>
        </w:rPr>
        <w:t xml:space="preserve">arent training programs have proven the most effective way to treat child behaviour problems. Without effective treatment, disruptive or problem </w:t>
      </w:r>
      <w:proofErr w:type="spellStart"/>
      <w:r w:rsidRPr="002E145A">
        <w:rPr>
          <w:lang w:val="en-GB" w:eastAsia="en-GB"/>
        </w:rPr>
        <w:t>behavior</w:t>
      </w:r>
      <w:proofErr w:type="spellEnd"/>
      <w:r w:rsidRPr="002E145A">
        <w:rPr>
          <w:lang w:val="en-GB" w:eastAsia="en-GB"/>
        </w:rPr>
        <w:t xml:space="preserve"> problems related long-term outcomes include academic difficulties in late school years unemployment, family problems, and mental health problems such as depression, anxiety disorders, addiction, and antisocial personality disorders. The relations of students in the educational environment with their teachers and the quality of these relationships; they play an important role in the emotional, social and academic development of students </w:t>
      </w:r>
      <w:r w:rsidR="005A5B5E">
        <w:rPr>
          <w:lang w:val="en-GB" w:eastAsia="en-GB"/>
        </w:rPr>
        <w:t>[26</w:t>
      </w:r>
      <w:r w:rsidR="004B15AF">
        <w:rPr>
          <w:lang w:val="en-GB" w:eastAsia="en-GB"/>
        </w:rPr>
        <w:t>, 27</w:t>
      </w:r>
      <w:r w:rsidR="005A5B5E">
        <w:rPr>
          <w:lang w:val="en-GB" w:eastAsia="en-GB"/>
        </w:rPr>
        <w:t>]</w:t>
      </w:r>
      <w:r w:rsidRPr="002E145A">
        <w:rPr>
          <w:lang w:val="en-GB" w:eastAsia="en-GB"/>
        </w:rPr>
        <w:t>. However, when it comes to mainstreaming education practice, it has been revealed through research that teachers do not</w:t>
      </w:r>
      <w:r w:rsidR="004F2976">
        <w:rPr>
          <w:lang w:val="en-GB" w:eastAsia="en-GB"/>
        </w:rPr>
        <w:t xml:space="preserve"> consider themselves competent </w:t>
      </w:r>
      <w:r w:rsidR="00141F86">
        <w:rPr>
          <w:lang w:val="en-GB" w:eastAsia="en-GB"/>
        </w:rPr>
        <w:t>[28,</w:t>
      </w:r>
      <w:r w:rsidR="0048598C">
        <w:rPr>
          <w:lang w:val="en-GB" w:eastAsia="en-GB"/>
        </w:rPr>
        <w:t xml:space="preserve"> 29, </w:t>
      </w:r>
      <w:r w:rsidR="00BB2530">
        <w:rPr>
          <w:lang w:val="en-GB" w:eastAsia="en-GB"/>
        </w:rPr>
        <w:t xml:space="preserve">30, </w:t>
      </w:r>
      <w:r w:rsidR="00E33648">
        <w:rPr>
          <w:lang w:val="en-GB" w:eastAsia="en-GB"/>
        </w:rPr>
        <w:t>31,</w:t>
      </w:r>
      <w:r w:rsidR="004F2976">
        <w:rPr>
          <w:lang w:val="en-GB" w:eastAsia="en-GB"/>
        </w:rPr>
        <w:t xml:space="preserve"> 32, </w:t>
      </w:r>
      <w:proofErr w:type="gramStart"/>
      <w:r w:rsidR="004F2976">
        <w:rPr>
          <w:lang w:val="en-GB" w:eastAsia="en-GB"/>
        </w:rPr>
        <w:t>33</w:t>
      </w:r>
      <w:proofErr w:type="gramEnd"/>
      <w:r w:rsidR="004F2976">
        <w:rPr>
          <w:lang w:val="en-GB" w:eastAsia="en-GB"/>
        </w:rPr>
        <w:t>]</w:t>
      </w:r>
      <w:r w:rsidRPr="002E145A">
        <w:rPr>
          <w:lang w:val="en-GB" w:eastAsia="en-GB"/>
        </w:rPr>
        <w:t>.</w:t>
      </w:r>
    </w:p>
    <w:p w14:paraId="3643CA9F" w14:textId="3F0FAC73" w:rsidR="002E145A" w:rsidRDefault="002E145A" w:rsidP="002E145A">
      <w:pPr>
        <w:ind w:firstLine="709"/>
        <w:jc w:val="both"/>
        <w:rPr>
          <w:lang w:val="en-GB" w:eastAsia="en-GB"/>
        </w:rPr>
      </w:pPr>
      <w:r w:rsidRPr="002E145A">
        <w:rPr>
          <w:lang w:val="en-GB" w:eastAsia="en-GB"/>
        </w:rPr>
        <w:t>Peers play an important role in the psychosocial development of most of their coevals. The support of peers is providing opportunities for individuals to gain interpersonal relationships, social skills and a sense of involvement. In order to achieve the success in combining; It is seen in researches that informing normal peers, families, teachers, school administration and other staff about students with normal special development, organizing coalescence activities plays an important role in the socia</w:t>
      </w:r>
      <w:r w:rsidR="00EA2E5B">
        <w:rPr>
          <w:lang w:val="en-GB" w:eastAsia="en-GB"/>
        </w:rPr>
        <w:t xml:space="preserve">l acceptance of those students </w:t>
      </w:r>
      <w:r w:rsidR="00AD3188">
        <w:rPr>
          <w:lang w:val="en-GB" w:eastAsia="en-GB"/>
        </w:rPr>
        <w:t>[6</w:t>
      </w:r>
      <w:r w:rsidR="00EA2E5B">
        <w:rPr>
          <w:lang w:val="en-GB" w:eastAsia="en-GB"/>
        </w:rPr>
        <w:t>, 3</w:t>
      </w:r>
      <w:r w:rsidR="00515885">
        <w:rPr>
          <w:lang w:val="en-GB" w:eastAsia="en-GB"/>
        </w:rPr>
        <w:t xml:space="preserve">, 18, 34, </w:t>
      </w:r>
      <w:r w:rsidR="00EE1EC8">
        <w:rPr>
          <w:lang w:val="en-GB" w:eastAsia="en-GB"/>
        </w:rPr>
        <w:t>8</w:t>
      </w:r>
      <w:r w:rsidR="00AD3188">
        <w:rPr>
          <w:lang w:val="en-GB" w:eastAsia="en-GB"/>
        </w:rPr>
        <w:t>]</w:t>
      </w:r>
      <w:r w:rsidRPr="002E145A">
        <w:rPr>
          <w:lang w:val="en-GB" w:eastAsia="en-GB"/>
        </w:rPr>
        <w:t>. In this situation, it has revealed that more studies should be carried out to determine the social acceptance levels of students with normal developing towards students with disabilities.</w:t>
      </w:r>
    </w:p>
    <w:p w14:paraId="4F970E62" w14:textId="77777777" w:rsidR="001C4448" w:rsidRDefault="001C4448" w:rsidP="001C4448">
      <w:pPr>
        <w:jc w:val="both"/>
        <w:rPr>
          <w:b/>
          <w:bCs/>
          <w:lang w:val="en-GB" w:eastAsia="en-GB"/>
        </w:rPr>
      </w:pPr>
    </w:p>
    <w:p w14:paraId="6FD9F720" w14:textId="77777777" w:rsidR="001C4448" w:rsidRPr="001C4448" w:rsidRDefault="001C4448" w:rsidP="001C4448">
      <w:pPr>
        <w:jc w:val="both"/>
        <w:rPr>
          <w:b/>
          <w:bCs/>
          <w:lang w:val="en-GB" w:eastAsia="en-GB"/>
        </w:rPr>
      </w:pPr>
      <w:r w:rsidRPr="001C4448">
        <w:rPr>
          <w:b/>
          <w:bCs/>
          <w:lang w:val="en-GB" w:eastAsia="en-GB"/>
        </w:rPr>
        <w:t xml:space="preserve">The aim of research </w:t>
      </w:r>
    </w:p>
    <w:p w14:paraId="17EA8089" w14:textId="77777777" w:rsidR="001C4448" w:rsidRPr="001C4448" w:rsidRDefault="001C4448" w:rsidP="001C4448">
      <w:pPr>
        <w:ind w:firstLine="714"/>
        <w:jc w:val="both"/>
        <w:rPr>
          <w:lang w:val="en-GB" w:eastAsia="en-GB"/>
        </w:rPr>
      </w:pPr>
      <w:r w:rsidRPr="001C4448">
        <w:rPr>
          <w:lang w:val="en-GB" w:eastAsia="en-GB"/>
        </w:rPr>
        <w:t xml:space="preserve">The aim of this study is to examine whether there is a significant difference in the social acceptance levels of disable students towards disable students in secondary schools in the city </w:t>
      </w:r>
      <w:proofErr w:type="spellStart"/>
      <w:r w:rsidRPr="001C4448">
        <w:rPr>
          <w:lang w:val="en-GB" w:eastAsia="en-GB"/>
        </w:rPr>
        <w:t>center</w:t>
      </w:r>
      <w:proofErr w:type="spellEnd"/>
      <w:r w:rsidRPr="001C4448">
        <w:rPr>
          <w:lang w:val="en-GB" w:eastAsia="en-GB"/>
        </w:rPr>
        <w:t xml:space="preserve"> of </w:t>
      </w:r>
      <w:proofErr w:type="spellStart"/>
      <w:r w:rsidRPr="001C4448">
        <w:rPr>
          <w:lang w:val="en-GB" w:eastAsia="en-GB"/>
        </w:rPr>
        <w:t>Burdur</w:t>
      </w:r>
      <w:proofErr w:type="spellEnd"/>
      <w:r w:rsidRPr="001C4448">
        <w:rPr>
          <w:lang w:val="en-GB" w:eastAsia="en-GB"/>
        </w:rPr>
        <w:t xml:space="preserve"> according to the variables of gender, grade level, </w:t>
      </w:r>
      <w:proofErr w:type="gramStart"/>
      <w:r w:rsidRPr="001C4448">
        <w:rPr>
          <w:lang w:val="en-GB" w:eastAsia="en-GB"/>
        </w:rPr>
        <w:t>number</w:t>
      </w:r>
      <w:proofErr w:type="gramEnd"/>
      <w:r w:rsidRPr="001C4448">
        <w:rPr>
          <w:lang w:val="en-GB" w:eastAsia="en-GB"/>
        </w:rPr>
        <w:t xml:space="preserve"> of siblings, incoming level and whether there are individuals with disabilities in the family. For this purpose, the following questions were required;</w:t>
      </w:r>
    </w:p>
    <w:p w14:paraId="1A51CFA1" w14:textId="77777777" w:rsidR="001C4448" w:rsidRPr="001C4448" w:rsidRDefault="001C4448" w:rsidP="001C4448">
      <w:pPr>
        <w:ind w:left="714"/>
        <w:contextualSpacing/>
        <w:jc w:val="both"/>
        <w:rPr>
          <w:rFonts w:eastAsia="Calibri"/>
          <w:lang w:val="tr-TR"/>
        </w:rPr>
      </w:pPr>
      <w:r w:rsidRPr="001C4448">
        <w:rPr>
          <w:rFonts w:eastAsia="Calibri"/>
          <w:lang w:val="tr-TR"/>
        </w:rPr>
        <w:t>Is there a significant difference in the social acceptance levels of secondary school students towards disable students according to the variables of gender, grade level, number of siblings, income level and whether there are individuals with special needs disabilities in the family?</w:t>
      </w:r>
    </w:p>
    <w:p w14:paraId="1BB37E11" w14:textId="77777777" w:rsidR="00904D6D" w:rsidRPr="003D5B84" w:rsidRDefault="00904D6D" w:rsidP="0010046E">
      <w:pPr>
        <w:jc w:val="both"/>
      </w:pPr>
    </w:p>
    <w:p w14:paraId="4FF81396" w14:textId="77777777" w:rsidR="0010046E" w:rsidRPr="003D5B84" w:rsidRDefault="0010046E" w:rsidP="0010046E">
      <w:pPr>
        <w:jc w:val="both"/>
      </w:pPr>
    </w:p>
    <w:p w14:paraId="7B145148" w14:textId="69BFF6F7" w:rsidR="00904D6D" w:rsidRPr="003D5B84" w:rsidRDefault="00F33C08" w:rsidP="00D74C5F">
      <w:pPr>
        <w:numPr>
          <w:ilvl w:val="0"/>
          <w:numId w:val="15"/>
        </w:numPr>
        <w:tabs>
          <w:tab w:val="left" w:pos="426"/>
        </w:tabs>
        <w:ind w:left="426" w:hanging="426"/>
        <w:rPr>
          <w:b/>
          <w:bCs/>
          <w:lang w:val="id-ID"/>
        </w:rPr>
      </w:pPr>
      <w:r w:rsidRPr="003D5B84">
        <w:rPr>
          <w:b/>
          <w:bCs/>
          <w:lang w:val="id-ID"/>
        </w:rPr>
        <w:t>RESEARCH METHOD</w:t>
      </w:r>
      <w:r>
        <w:rPr>
          <w:b/>
          <w:bCs/>
        </w:rPr>
        <w:t xml:space="preserve"> </w:t>
      </w:r>
    </w:p>
    <w:p w14:paraId="5FF82D3A" w14:textId="77777777" w:rsidR="004215DD" w:rsidRPr="00E35002" w:rsidRDefault="004215DD" w:rsidP="004215DD">
      <w:pPr>
        <w:ind w:firstLine="720"/>
        <w:jc w:val="both"/>
        <w:rPr>
          <w:lang w:val="en-GB" w:eastAsia="en-GB"/>
        </w:rPr>
      </w:pPr>
      <w:r w:rsidRPr="00E35002">
        <w:rPr>
          <w:lang w:val="en-GB" w:eastAsia="en-GB"/>
        </w:rPr>
        <w:t xml:space="preserve">In this study, the descriptive screening model was used as it was aimed whether there was a significant difference in the social acceptance levels of the disable students towards the students with disabilities in secondary schools in the city </w:t>
      </w:r>
      <w:proofErr w:type="spellStart"/>
      <w:r w:rsidRPr="00E35002">
        <w:rPr>
          <w:lang w:val="en-GB" w:eastAsia="en-GB"/>
        </w:rPr>
        <w:t>center</w:t>
      </w:r>
      <w:proofErr w:type="spellEnd"/>
      <w:r w:rsidRPr="00E35002">
        <w:rPr>
          <w:lang w:val="en-GB" w:eastAsia="en-GB"/>
        </w:rPr>
        <w:t xml:space="preserve"> of </w:t>
      </w:r>
      <w:proofErr w:type="spellStart"/>
      <w:r w:rsidRPr="00E35002">
        <w:rPr>
          <w:lang w:val="en-GB" w:eastAsia="en-GB"/>
        </w:rPr>
        <w:t>Burdur</w:t>
      </w:r>
      <w:proofErr w:type="spellEnd"/>
      <w:r w:rsidRPr="00E35002">
        <w:rPr>
          <w:lang w:val="en-GB" w:eastAsia="en-GB"/>
        </w:rPr>
        <w:t xml:space="preserve"> according to the variables of gender, grade level, number of siblings, income level and whether there are individuals with disabilities in families.</w:t>
      </w:r>
    </w:p>
    <w:p w14:paraId="4EEBF691" w14:textId="77777777" w:rsidR="004215DD" w:rsidRPr="00E35002" w:rsidRDefault="004215DD" w:rsidP="004215DD">
      <w:pPr>
        <w:jc w:val="both"/>
        <w:rPr>
          <w:b/>
          <w:bCs/>
          <w:i/>
          <w:lang w:val="en-GB" w:eastAsia="en-GB"/>
        </w:rPr>
      </w:pPr>
    </w:p>
    <w:p w14:paraId="4D5EF31D" w14:textId="313E8E2F" w:rsidR="004215DD" w:rsidRPr="00E35002" w:rsidRDefault="004215DD" w:rsidP="004215DD">
      <w:pPr>
        <w:jc w:val="both"/>
        <w:rPr>
          <w:b/>
          <w:bCs/>
          <w:lang w:val="en-GB" w:eastAsia="en-GB"/>
        </w:rPr>
      </w:pPr>
      <w:r>
        <w:rPr>
          <w:b/>
          <w:bCs/>
          <w:lang w:val="en-GB" w:eastAsia="en-GB"/>
        </w:rPr>
        <w:t xml:space="preserve">2.1. </w:t>
      </w:r>
      <w:r w:rsidRPr="00E35002">
        <w:rPr>
          <w:b/>
          <w:bCs/>
          <w:lang w:val="en-GB" w:eastAsia="en-GB"/>
        </w:rPr>
        <w:t xml:space="preserve">Population and </w:t>
      </w:r>
      <w:r w:rsidR="00F7290D">
        <w:rPr>
          <w:b/>
          <w:bCs/>
          <w:lang w:val="en-GB" w:eastAsia="en-GB"/>
        </w:rPr>
        <w:t>s</w:t>
      </w:r>
      <w:r w:rsidRPr="00E35002">
        <w:rPr>
          <w:b/>
          <w:bCs/>
          <w:lang w:val="en-GB" w:eastAsia="en-GB"/>
        </w:rPr>
        <w:t xml:space="preserve">ample </w:t>
      </w:r>
    </w:p>
    <w:p w14:paraId="25F2236B" w14:textId="3D7B98AD" w:rsidR="004215DD" w:rsidRPr="00E35002" w:rsidRDefault="004215DD" w:rsidP="00F7290D">
      <w:pPr>
        <w:ind w:firstLine="720"/>
        <w:jc w:val="both"/>
        <w:rPr>
          <w:lang w:val="en-GB" w:eastAsia="en-GB"/>
        </w:rPr>
      </w:pPr>
      <w:r w:rsidRPr="00E35002">
        <w:rPr>
          <w:lang w:val="en-GB" w:eastAsia="en-GB"/>
        </w:rPr>
        <w:t xml:space="preserve">The population of this study consists of three secondary schools in the city </w:t>
      </w:r>
      <w:proofErr w:type="spellStart"/>
      <w:r w:rsidRPr="00E35002">
        <w:rPr>
          <w:lang w:val="en-GB" w:eastAsia="en-GB"/>
        </w:rPr>
        <w:t>center</w:t>
      </w:r>
      <w:proofErr w:type="spellEnd"/>
      <w:r w:rsidRPr="00E35002">
        <w:rPr>
          <w:lang w:val="en-GB" w:eastAsia="en-GB"/>
        </w:rPr>
        <w:t xml:space="preserve"> of </w:t>
      </w:r>
      <w:proofErr w:type="spellStart"/>
      <w:r w:rsidRPr="00E35002">
        <w:rPr>
          <w:lang w:val="en-GB" w:eastAsia="en-GB"/>
        </w:rPr>
        <w:t>Burdur</w:t>
      </w:r>
      <w:proofErr w:type="spellEnd"/>
      <w:r w:rsidRPr="00E35002">
        <w:rPr>
          <w:lang w:val="en-GB" w:eastAsia="en-GB"/>
        </w:rPr>
        <w:t xml:space="preserve">, between 2019- 2020, affiliated to the </w:t>
      </w:r>
      <w:r w:rsidR="00F7290D">
        <w:rPr>
          <w:lang w:val="en-GB" w:eastAsia="en-GB"/>
        </w:rPr>
        <w:t xml:space="preserve">Ministry of National Education. </w:t>
      </w:r>
      <w:r w:rsidRPr="00E35002">
        <w:rPr>
          <w:lang w:val="en-GB" w:eastAsia="en-GB"/>
        </w:rPr>
        <w:t xml:space="preserve">The sample of the study consists of a total of 220 students, 130 (59.1%) female and 90 (40.9%) male, studying in three secondary schools in the province of </w:t>
      </w:r>
      <w:proofErr w:type="spellStart"/>
      <w:r w:rsidRPr="00E35002">
        <w:rPr>
          <w:lang w:val="en-GB" w:eastAsia="en-GB"/>
        </w:rPr>
        <w:t>Burdur</w:t>
      </w:r>
      <w:proofErr w:type="spellEnd"/>
      <w:r w:rsidRPr="00E35002">
        <w:rPr>
          <w:lang w:val="en-GB" w:eastAsia="en-GB"/>
        </w:rPr>
        <w:t>. 110 of these students are 6</w:t>
      </w:r>
      <w:r w:rsidRPr="00E35002">
        <w:rPr>
          <w:vertAlign w:val="superscript"/>
          <w:lang w:val="en-GB" w:eastAsia="en-GB"/>
        </w:rPr>
        <w:t>th</w:t>
      </w:r>
      <w:r w:rsidRPr="00E35002">
        <w:rPr>
          <w:lang w:val="en-GB" w:eastAsia="en-GB"/>
        </w:rPr>
        <w:t xml:space="preserve"> grade students and 110 of them are 7</w:t>
      </w:r>
      <w:r w:rsidRPr="00E35002">
        <w:rPr>
          <w:vertAlign w:val="superscript"/>
          <w:lang w:val="en-GB" w:eastAsia="en-GB"/>
        </w:rPr>
        <w:t>th</w:t>
      </w:r>
      <w:r w:rsidRPr="00E35002">
        <w:rPr>
          <w:lang w:val="en-GB" w:eastAsia="en-GB"/>
        </w:rPr>
        <w:t xml:space="preserve"> grade students. Appropriate sampling method was used in the selection of samples from the population.</w:t>
      </w:r>
    </w:p>
    <w:p w14:paraId="55458075" w14:textId="77777777" w:rsidR="004215DD" w:rsidRPr="00E35002" w:rsidRDefault="004215DD" w:rsidP="004215DD">
      <w:pPr>
        <w:ind w:firstLine="720"/>
        <w:jc w:val="both"/>
        <w:rPr>
          <w:lang w:val="en-GB" w:eastAsia="en-GB"/>
        </w:rPr>
      </w:pPr>
    </w:p>
    <w:p w14:paraId="665DF85F" w14:textId="2847E793" w:rsidR="004215DD" w:rsidRPr="00E35002" w:rsidRDefault="004215DD" w:rsidP="004215DD">
      <w:pPr>
        <w:jc w:val="both"/>
        <w:rPr>
          <w:b/>
          <w:bCs/>
          <w:lang w:val="en-GB" w:eastAsia="en-GB"/>
        </w:rPr>
      </w:pPr>
      <w:r>
        <w:rPr>
          <w:b/>
          <w:bCs/>
          <w:lang w:val="en-GB" w:eastAsia="en-GB"/>
        </w:rPr>
        <w:t>2.</w:t>
      </w:r>
      <w:r w:rsidR="00F7290D">
        <w:rPr>
          <w:b/>
          <w:bCs/>
          <w:lang w:val="en-GB" w:eastAsia="en-GB"/>
        </w:rPr>
        <w:t>2</w:t>
      </w:r>
      <w:r>
        <w:rPr>
          <w:b/>
          <w:bCs/>
          <w:lang w:val="en-GB" w:eastAsia="en-GB"/>
        </w:rPr>
        <w:t xml:space="preserve">. </w:t>
      </w:r>
      <w:r w:rsidRPr="00E35002">
        <w:rPr>
          <w:b/>
          <w:bCs/>
          <w:lang w:val="en-GB" w:eastAsia="en-GB"/>
        </w:rPr>
        <w:t xml:space="preserve">Data </w:t>
      </w:r>
      <w:r w:rsidR="0033767D" w:rsidRPr="00E35002">
        <w:rPr>
          <w:b/>
          <w:bCs/>
          <w:lang w:val="en-GB" w:eastAsia="en-GB"/>
        </w:rPr>
        <w:t>collection tools</w:t>
      </w:r>
    </w:p>
    <w:p w14:paraId="3E0E359F" w14:textId="4813847E" w:rsidR="004215DD" w:rsidRPr="00E35002" w:rsidRDefault="004215DD" w:rsidP="0033767D">
      <w:pPr>
        <w:ind w:firstLine="720"/>
        <w:jc w:val="both"/>
        <w:rPr>
          <w:lang w:val="en-GB" w:eastAsia="en-GB"/>
        </w:rPr>
      </w:pPr>
      <w:r w:rsidRPr="00E35002">
        <w:rPr>
          <w:lang w:val="en-GB" w:eastAsia="en-GB"/>
        </w:rPr>
        <w:t xml:space="preserve">Social acceptance scale, developed by </w:t>
      </w:r>
      <w:proofErr w:type="spellStart"/>
      <w:r w:rsidRPr="00E35002">
        <w:rPr>
          <w:lang w:val="en-GB" w:eastAsia="en-GB"/>
        </w:rPr>
        <w:t>Arslan</w:t>
      </w:r>
      <w:proofErr w:type="spellEnd"/>
      <w:r w:rsidRPr="00E35002">
        <w:rPr>
          <w:lang w:val="en-GB" w:eastAsia="en-GB"/>
        </w:rPr>
        <w:t xml:space="preserve"> </w:t>
      </w:r>
      <w:r w:rsidR="00154BE1">
        <w:rPr>
          <w:lang w:val="en-GB" w:eastAsia="en-GB"/>
        </w:rPr>
        <w:t>[5]</w:t>
      </w:r>
      <w:r w:rsidRPr="00E35002">
        <w:rPr>
          <w:lang w:val="en-GB" w:eastAsia="en-GB"/>
        </w:rPr>
        <w:t xml:space="preserve">, is a Likert-type scale with a triple rating of 32 points. As a result of the exploratory factor analysis for the construct validity of the scale, a three-factor structure was determined. The percentage of explaining the total variance of the three-factor structure is 46.66%. The first of the three factors that make up the scale is defined as "Social Skills", the second as "Student Behaviour", and the third as "Peer Attitude". In the reliability analysis of the scale, the </w:t>
      </w:r>
      <w:proofErr w:type="spellStart"/>
      <w:r w:rsidRPr="00E35002">
        <w:rPr>
          <w:lang w:val="en-GB" w:eastAsia="en-GB"/>
        </w:rPr>
        <w:t>Cronbach</w:t>
      </w:r>
      <w:proofErr w:type="spellEnd"/>
      <w:r w:rsidRPr="00E35002">
        <w:rPr>
          <w:lang w:val="en-GB" w:eastAsia="en-GB"/>
        </w:rPr>
        <w:t xml:space="preserve"> Alpha Internal Consistency Coeffici</w:t>
      </w:r>
      <w:r w:rsidR="00C5475B">
        <w:rPr>
          <w:lang w:val="en-GB" w:eastAsia="en-GB"/>
        </w:rPr>
        <w:t xml:space="preserve">ent was found as </w:t>
      </w:r>
      <w:r w:rsidRPr="00E35002">
        <w:rPr>
          <w:lang w:val="en-GB" w:eastAsia="en-GB"/>
        </w:rPr>
        <w:t xml:space="preserve">.92. The high value taken from the scale indicates that the students have developed a "positive attitude" towards the mainstreaming students, while the low value indicate that the students have developed a "negative attitude". In this study, the </w:t>
      </w:r>
      <w:proofErr w:type="spellStart"/>
      <w:r w:rsidRPr="00E35002">
        <w:rPr>
          <w:lang w:val="en-GB" w:eastAsia="en-GB"/>
        </w:rPr>
        <w:t>Cronbach's</w:t>
      </w:r>
      <w:proofErr w:type="spellEnd"/>
      <w:r w:rsidRPr="00E35002">
        <w:rPr>
          <w:lang w:val="en-GB" w:eastAsia="en-GB"/>
        </w:rPr>
        <w:t xml:space="preserve"> Alpha value of the scale was found .93.</w:t>
      </w:r>
    </w:p>
    <w:p w14:paraId="422BD7D3" w14:textId="77777777" w:rsidR="004215DD" w:rsidRPr="00E35002" w:rsidRDefault="004215DD" w:rsidP="0033767D">
      <w:pPr>
        <w:jc w:val="both"/>
        <w:rPr>
          <w:lang w:val="en-GB" w:eastAsia="en-GB"/>
        </w:rPr>
      </w:pPr>
    </w:p>
    <w:p w14:paraId="270382EF" w14:textId="6C2C0393" w:rsidR="004215DD" w:rsidRPr="00E35002" w:rsidRDefault="00D22220" w:rsidP="004215DD">
      <w:pPr>
        <w:jc w:val="both"/>
        <w:rPr>
          <w:b/>
          <w:bCs/>
          <w:lang w:val="en-GB" w:eastAsia="en-GB"/>
        </w:rPr>
      </w:pPr>
      <w:r>
        <w:rPr>
          <w:b/>
          <w:bCs/>
          <w:lang w:val="en-GB" w:eastAsia="en-GB"/>
        </w:rPr>
        <w:t xml:space="preserve">2.3. </w:t>
      </w:r>
      <w:r w:rsidR="004215DD" w:rsidRPr="00E35002">
        <w:rPr>
          <w:b/>
          <w:bCs/>
          <w:lang w:val="en-GB" w:eastAsia="en-GB"/>
        </w:rPr>
        <w:t xml:space="preserve">Data </w:t>
      </w:r>
      <w:r>
        <w:rPr>
          <w:b/>
          <w:bCs/>
          <w:lang w:val="en-GB" w:eastAsia="en-GB"/>
        </w:rPr>
        <w:t>a</w:t>
      </w:r>
      <w:r w:rsidR="004215DD" w:rsidRPr="00E35002">
        <w:rPr>
          <w:b/>
          <w:bCs/>
          <w:lang w:val="en-GB" w:eastAsia="en-GB"/>
        </w:rPr>
        <w:t>nalysis</w:t>
      </w:r>
    </w:p>
    <w:p w14:paraId="4CC2D707" w14:textId="77777777" w:rsidR="004215DD" w:rsidRDefault="004215DD" w:rsidP="00D22220">
      <w:pPr>
        <w:ind w:firstLine="720"/>
        <w:jc w:val="both"/>
        <w:rPr>
          <w:lang w:val="en-GB"/>
        </w:rPr>
      </w:pPr>
      <w:r w:rsidRPr="00E35002">
        <w:rPr>
          <w:lang w:val="en-GB" w:eastAsia="en-GB"/>
        </w:rPr>
        <w:t xml:space="preserve">The arithmetic means, standard deviations, t-test, using one-way analysis of variance (ANOVA) analysis of the data in the applied scale will be calculated using the "SPSS 20" package program on the computer. </w:t>
      </w:r>
      <w:r w:rsidRPr="00E35002">
        <w:rPr>
          <w:lang w:val="en-GB"/>
        </w:rPr>
        <w:t>The level of importance in the study was accepted as .05.</w:t>
      </w:r>
    </w:p>
    <w:p w14:paraId="51A40055" w14:textId="77777777" w:rsidR="00CF5B28" w:rsidRDefault="00CF5B28" w:rsidP="00D22220">
      <w:pPr>
        <w:ind w:firstLine="720"/>
        <w:jc w:val="both"/>
        <w:rPr>
          <w:lang w:val="en-GB"/>
        </w:rPr>
      </w:pPr>
    </w:p>
    <w:p w14:paraId="09A01F9A" w14:textId="77777777" w:rsidR="004215DD" w:rsidRPr="003D5B84" w:rsidRDefault="004215DD" w:rsidP="002622CD">
      <w:pPr>
        <w:ind w:firstLine="720"/>
        <w:jc w:val="both"/>
        <w:rPr>
          <w:lang w:val="id-ID"/>
        </w:rPr>
      </w:pPr>
    </w:p>
    <w:p w14:paraId="70346BEA" w14:textId="44882E40" w:rsidR="00904D6D" w:rsidRPr="003D5B84" w:rsidRDefault="00F33C08" w:rsidP="00D74C5F">
      <w:pPr>
        <w:numPr>
          <w:ilvl w:val="0"/>
          <w:numId w:val="15"/>
        </w:numPr>
        <w:tabs>
          <w:tab w:val="left" w:pos="426"/>
        </w:tabs>
        <w:ind w:left="426" w:hanging="426"/>
        <w:rPr>
          <w:b/>
          <w:bCs/>
          <w:lang w:val="id-ID"/>
        </w:rPr>
      </w:pPr>
      <w:r w:rsidRPr="003D5B84">
        <w:rPr>
          <w:b/>
          <w:bCs/>
          <w:lang w:val="id-ID"/>
        </w:rPr>
        <w:t xml:space="preserve">RESULTS </w:t>
      </w:r>
    </w:p>
    <w:p w14:paraId="6DEACFD7" w14:textId="77777777" w:rsidR="006D3AD5" w:rsidRPr="006D3AD5" w:rsidRDefault="006D3AD5" w:rsidP="006D3AD5">
      <w:pPr>
        <w:ind w:firstLine="720"/>
        <w:jc w:val="both"/>
        <w:rPr>
          <w:lang w:val="en-GB" w:eastAsia="en-GB"/>
        </w:rPr>
      </w:pPr>
      <w:r w:rsidRPr="006D3AD5">
        <w:rPr>
          <w:lang w:val="en-GB" w:eastAsia="en-GB"/>
        </w:rPr>
        <w:t>The findings obtained for the sub-problems determined in line with the purpose of this research are presented in the following order.</w:t>
      </w:r>
    </w:p>
    <w:p w14:paraId="37633088" w14:textId="77777777" w:rsidR="006D3AD5" w:rsidRPr="003D5B84" w:rsidRDefault="006D3AD5" w:rsidP="00904D6D">
      <w:pPr>
        <w:ind w:firstLine="720"/>
        <w:jc w:val="both"/>
        <w:rPr>
          <w:lang w:val="id-ID"/>
        </w:rPr>
      </w:pPr>
    </w:p>
    <w:p w14:paraId="12D17B80" w14:textId="77777777" w:rsidR="00121F8C" w:rsidRPr="00121F8C" w:rsidRDefault="00121F8C" w:rsidP="004160C7">
      <w:pPr>
        <w:jc w:val="center"/>
        <w:rPr>
          <w:lang w:val="en-GB" w:eastAsia="en-GB"/>
        </w:rPr>
      </w:pPr>
      <w:r w:rsidRPr="00121F8C">
        <w:rPr>
          <w:bCs/>
          <w:lang w:val="en-GB" w:eastAsia="en-GB"/>
        </w:rPr>
        <w:t xml:space="preserve">Table 1. </w:t>
      </w:r>
      <w:r w:rsidRPr="00121F8C">
        <w:rPr>
          <w:lang w:val="en-GB" w:eastAsia="en-GB"/>
        </w:rPr>
        <w:t>Analysis of the social acceptance scale and social acceptance subscales score average of the participants by gender</w:t>
      </w:r>
    </w:p>
    <w:tbl>
      <w:tblPr>
        <w:tblW w:w="5529" w:type="dxa"/>
        <w:jc w:val="center"/>
        <w:tblLayout w:type="fixed"/>
        <w:tblLook w:val="04A0" w:firstRow="1" w:lastRow="0" w:firstColumn="1" w:lastColumn="0" w:noHBand="0" w:noVBand="1"/>
      </w:tblPr>
      <w:tblGrid>
        <w:gridCol w:w="1701"/>
        <w:gridCol w:w="993"/>
        <w:gridCol w:w="708"/>
        <w:gridCol w:w="709"/>
        <w:gridCol w:w="709"/>
        <w:gridCol w:w="709"/>
      </w:tblGrid>
      <w:tr w:rsidR="00121F8C" w:rsidRPr="00121F8C" w14:paraId="2D31F728" w14:textId="77777777" w:rsidTr="00B447BC">
        <w:trPr>
          <w:trHeight w:val="53"/>
          <w:jc w:val="center"/>
        </w:trPr>
        <w:tc>
          <w:tcPr>
            <w:tcW w:w="1701" w:type="dxa"/>
            <w:vMerge w:val="restart"/>
            <w:tcBorders>
              <w:top w:val="single" w:sz="4" w:space="0" w:color="auto"/>
              <w:bottom w:val="single" w:sz="4" w:space="0" w:color="auto"/>
            </w:tcBorders>
          </w:tcPr>
          <w:p w14:paraId="097B8D88" w14:textId="1BA755A7" w:rsidR="00121F8C" w:rsidRPr="00121F8C" w:rsidRDefault="008B58F6" w:rsidP="00121F8C">
            <w:pPr>
              <w:contextualSpacing/>
              <w:jc w:val="both"/>
              <w:rPr>
                <w:rFonts w:eastAsia="Calibri"/>
                <w:color w:val="000000"/>
                <w:sz w:val="16"/>
                <w:szCs w:val="16"/>
                <w:lang w:val="tr-TR"/>
              </w:rPr>
            </w:pPr>
            <w:r>
              <w:rPr>
                <w:rFonts w:eastAsia="Calibri"/>
                <w:color w:val="000000"/>
                <w:sz w:val="16"/>
                <w:szCs w:val="16"/>
                <w:lang w:val="tr-TR"/>
              </w:rPr>
              <w:t>Dependent Variables</w:t>
            </w:r>
          </w:p>
        </w:tc>
        <w:tc>
          <w:tcPr>
            <w:tcW w:w="3119" w:type="dxa"/>
            <w:gridSpan w:val="4"/>
            <w:tcBorders>
              <w:top w:val="single" w:sz="4" w:space="0" w:color="auto"/>
            </w:tcBorders>
          </w:tcPr>
          <w:p w14:paraId="63F15E70" w14:textId="77777777" w:rsidR="00121F8C" w:rsidRPr="00121F8C" w:rsidRDefault="00121F8C" w:rsidP="00121F8C">
            <w:pPr>
              <w:ind w:left="-108"/>
              <w:contextualSpacing/>
              <w:jc w:val="center"/>
              <w:rPr>
                <w:rFonts w:eastAsia="Calibri"/>
                <w:color w:val="000000"/>
                <w:sz w:val="16"/>
                <w:szCs w:val="16"/>
                <w:lang w:val="tr-TR"/>
              </w:rPr>
            </w:pPr>
            <w:r w:rsidRPr="00121F8C">
              <w:rPr>
                <w:rFonts w:eastAsia="Calibri"/>
                <w:sz w:val="16"/>
                <w:szCs w:val="16"/>
                <w:lang w:val="en-GB"/>
              </w:rPr>
              <w:t>Gender</w:t>
            </w:r>
          </w:p>
        </w:tc>
        <w:tc>
          <w:tcPr>
            <w:tcW w:w="709" w:type="dxa"/>
            <w:vMerge w:val="restart"/>
            <w:tcBorders>
              <w:top w:val="single" w:sz="4" w:space="0" w:color="auto"/>
              <w:bottom w:val="single" w:sz="4" w:space="0" w:color="auto"/>
            </w:tcBorders>
            <w:vAlign w:val="center"/>
          </w:tcPr>
          <w:p w14:paraId="3DC0EC31" w14:textId="77777777" w:rsidR="00121F8C" w:rsidRPr="00121F8C" w:rsidRDefault="00121F8C" w:rsidP="00121F8C">
            <w:pPr>
              <w:ind w:hanging="79"/>
              <w:contextualSpacing/>
              <w:jc w:val="center"/>
              <w:rPr>
                <w:rFonts w:eastAsia="Calibri"/>
                <w:color w:val="000000"/>
                <w:sz w:val="16"/>
                <w:szCs w:val="16"/>
                <w:lang w:val="tr-TR"/>
              </w:rPr>
            </w:pPr>
            <w:r w:rsidRPr="00121F8C">
              <w:rPr>
                <w:rFonts w:eastAsia="Calibri"/>
                <w:color w:val="000000"/>
                <w:sz w:val="16"/>
                <w:szCs w:val="16"/>
                <w:lang w:val="tr-TR"/>
              </w:rPr>
              <w:t>P-Value (Sig.)</w:t>
            </w:r>
          </w:p>
        </w:tc>
      </w:tr>
      <w:tr w:rsidR="00121F8C" w:rsidRPr="00121F8C" w14:paraId="734C9719" w14:textId="77777777" w:rsidTr="00B447BC">
        <w:trPr>
          <w:trHeight w:val="53"/>
          <w:jc w:val="center"/>
        </w:trPr>
        <w:tc>
          <w:tcPr>
            <w:tcW w:w="1701" w:type="dxa"/>
            <w:vMerge/>
            <w:tcBorders>
              <w:bottom w:val="single" w:sz="4" w:space="0" w:color="auto"/>
            </w:tcBorders>
          </w:tcPr>
          <w:p w14:paraId="70E38DD3" w14:textId="77777777" w:rsidR="00121F8C" w:rsidRPr="00121F8C" w:rsidRDefault="00121F8C" w:rsidP="00121F8C">
            <w:pPr>
              <w:contextualSpacing/>
              <w:jc w:val="both"/>
              <w:rPr>
                <w:rFonts w:eastAsia="Calibri"/>
                <w:color w:val="000000"/>
                <w:sz w:val="16"/>
                <w:szCs w:val="16"/>
                <w:lang w:val="tr-TR"/>
              </w:rPr>
            </w:pPr>
          </w:p>
        </w:tc>
        <w:tc>
          <w:tcPr>
            <w:tcW w:w="1701" w:type="dxa"/>
            <w:gridSpan w:val="2"/>
          </w:tcPr>
          <w:p w14:paraId="64C4BEC0" w14:textId="77777777" w:rsidR="00121F8C" w:rsidRPr="00121F8C" w:rsidRDefault="00121F8C" w:rsidP="00121F8C">
            <w:pPr>
              <w:ind w:left="-108"/>
              <w:contextualSpacing/>
              <w:jc w:val="center"/>
              <w:rPr>
                <w:rFonts w:eastAsia="Calibri"/>
                <w:color w:val="000000"/>
                <w:sz w:val="16"/>
                <w:szCs w:val="16"/>
                <w:lang w:val="tr-TR"/>
              </w:rPr>
            </w:pPr>
            <w:r w:rsidRPr="00121F8C">
              <w:rPr>
                <w:rFonts w:eastAsia="Calibri"/>
                <w:color w:val="000000"/>
                <w:sz w:val="16"/>
                <w:szCs w:val="16"/>
                <w:lang w:val="tr-TR"/>
              </w:rPr>
              <w:t>Male</w:t>
            </w:r>
          </w:p>
        </w:tc>
        <w:tc>
          <w:tcPr>
            <w:tcW w:w="1418" w:type="dxa"/>
            <w:gridSpan w:val="2"/>
          </w:tcPr>
          <w:p w14:paraId="6AD6C98D" w14:textId="77777777" w:rsidR="00121F8C" w:rsidRPr="00121F8C" w:rsidRDefault="00121F8C" w:rsidP="00121F8C">
            <w:pPr>
              <w:ind w:left="-108"/>
              <w:contextualSpacing/>
              <w:jc w:val="center"/>
              <w:rPr>
                <w:rFonts w:eastAsia="Calibri"/>
                <w:color w:val="000000"/>
                <w:sz w:val="16"/>
                <w:szCs w:val="16"/>
                <w:lang w:val="tr-TR"/>
              </w:rPr>
            </w:pPr>
            <w:r w:rsidRPr="00121F8C">
              <w:rPr>
                <w:rFonts w:eastAsia="Calibri"/>
                <w:color w:val="000000"/>
                <w:sz w:val="16"/>
                <w:szCs w:val="16"/>
                <w:lang w:val="tr-TR"/>
              </w:rPr>
              <w:t>Female</w:t>
            </w:r>
          </w:p>
        </w:tc>
        <w:tc>
          <w:tcPr>
            <w:tcW w:w="709" w:type="dxa"/>
            <w:vMerge/>
            <w:tcBorders>
              <w:bottom w:val="single" w:sz="4" w:space="0" w:color="auto"/>
            </w:tcBorders>
          </w:tcPr>
          <w:p w14:paraId="4CFF2573" w14:textId="77777777" w:rsidR="00121F8C" w:rsidRPr="00121F8C" w:rsidRDefault="00121F8C" w:rsidP="00121F8C">
            <w:pPr>
              <w:contextualSpacing/>
              <w:jc w:val="center"/>
              <w:rPr>
                <w:rFonts w:eastAsia="Calibri"/>
                <w:color w:val="000000"/>
                <w:sz w:val="16"/>
                <w:szCs w:val="16"/>
                <w:lang w:val="tr-TR"/>
              </w:rPr>
            </w:pPr>
          </w:p>
        </w:tc>
      </w:tr>
      <w:tr w:rsidR="00121F8C" w:rsidRPr="00121F8C" w14:paraId="1C071B44" w14:textId="77777777" w:rsidTr="00B447BC">
        <w:trPr>
          <w:trHeight w:val="53"/>
          <w:jc w:val="center"/>
        </w:trPr>
        <w:tc>
          <w:tcPr>
            <w:tcW w:w="1701" w:type="dxa"/>
            <w:vMerge/>
            <w:tcBorders>
              <w:bottom w:val="single" w:sz="4" w:space="0" w:color="auto"/>
            </w:tcBorders>
          </w:tcPr>
          <w:p w14:paraId="5C4D909E" w14:textId="77777777" w:rsidR="00121F8C" w:rsidRPr="00121F8C" w:rsidRDefault="00121F8C" w:rsidP="00121F8C">
            <w:pPr>
              <w:contextualSpacing/>
              <w:jc w:val="both"/>
              <w:rPr>
                <w:rFonts w:eastAsia="Calibri"/>
                <w:color w:val="000000"/>
                <w:sz w:val="16"/>
                <w:szCs w:val="16"/>
                <w:lang w:val="tr-TR"/>
              </w:rPr>
            </w:pPr>
          </w:p>
        </w:tc>
        <w:tc>
          <w:tcPr>
            <w:tcW w:w="993" w:type="dxa"/>
            <w:tcBorders>
              <w:bottom w:val="single" w:sz="4" w:space="0" w:color="auto"/>
            </w:tcBorders>
          </w:tcPr>
          <w:p w14:paraId="26B1E507" w14:textId="77777777" w:rsidR="00121F8C" w:rsidRPr="00121F8C" w:rsidRDefault="00121F8C" w:rsidP="00121F8C">
            <w:pPr>
              <w:ind w:left="-108"/>
              <w:contextualSpacing/>
              <w:jc w:val="center"/>
              <w:rPr>
                <w:rFonts w:eastAsia="Calibri"/>
                <w:color w:val="000000"/>
                <w:sz w:val="16"/>
                <w:szCs w:val="16"/>
                <w:lang w:val="tr-TR"/>
              </w:rPr>
            </w:pPr>
            <w:r w:rsidRPr="00121F8C">
              <w:rPr>
                <w:rFonts w:eastAsia="Calibri"/>
                <w:color w:val="000000"/>
                <w:sz w:val="16"/>
                <w:szCs w:val="16"/>
                <w:lang w:val="tr-TR"/>
              </w:rPr>
              <w:t>Mean</w:t>
            </w:r>
          </w:p>
        </w:tc>
        <w:tc>
          <w:tcPr>
            <w:tcW w:w="708" w:type="dxa"/>
            <w:tcBorders>
              <w:bottom w:val="single" w:sz="4" w:space="0" w:color="auto"/>
            </w:tcBorders>
          </w:tcPr>
          <w:p w14:paraId="11ABF90A" w14:textId="77777777" w:rsidR="00121F8C" w:rsidRPr="00121F8C" w:rsidRDefault="00121F8C" w:rsidP="00121F8C">
            <w:pPr>
              <w:ind w:left="-108"/>
              <w:contextualSpacing/>
              <w:jc w:val="center"/>
              <w:rPr>
                <w:rFonts w:eastAsia="Calibri"/>
                <w:color w:val="000000"/>
                <w:sz w:val="16"/>
                <w:szCs w:val="16"/>
                <w:lang w:val="tr-TR"/>
              </w:rPr>
            </w:pPr>
            <w:r w:rsidRPr="00121F8C">
              <w:rPr>
                <w:rFonts w:eastAsia="Calibri"/>
                <w:color w:val="000000"/>
                <w:sz w:val="16"/>
                <w:szCs w:val="16"/>
                <w:lang w:val="tr-TR"/>
              </w:rPr>
              <w:t>Std.Dev</w:t>
            </w:r>
          </w:p>
        </w:tc>
        <w:tc>
          <w:tcPr>
            <w:tcW w:w="709" w:type="dxa"/>
            <w:tcBorders>
              <w:bottom w:val="single" w:sz="4" w:space="0" w:color="auto"/>
            </w:tcBorders>
          </w:tcPr>
          <w:p w14:paraId="0D7DB0A7" w14:textId="77777777" w:rsidR="00121F8C" w:rsidRPr="00121F8C" w:rsidRDefault="00121F8C" w:rsidP="00121F8C">
            <w:pPr>
              <w:ind w:left="-108"/>
              <w:contextualSpacing/>
              <w:jc w:val="center"/>
              <w:rPr>
                <w:rFonts w:eastAsia="Calibri"/>
                <w:color w:val="000000"/>
                <w:sz w:val="16"/>
                <w:szCs w:val="16"/>
                <w:lang w:val="tr-TR"/>
              </w:rPr>
            </w:pPr>
            <w:r w:rsidRPr="00121F8C">
              <w:rPr>
                <w:rFonts w:eastAsia="Calibri"/>
                <w:color w:val="000000"/>
                <w:sz w:val="16"/>
                <w:szCs w:val="16"/>
                <w:lang w:val="tr-TR"/>
              </w:rPr>
              <w:t>Mean</w:t>
            </w:r>
          </w:p>
        </w:tc>
        <w:tc>
          <w:tcPr>
            <w:tcW w:w="709" w:type="dxa"/>
            <w:tcBorders>
              <w:bottom w:val="single" w:sz="4" w:space="0" w:color="auto"/>
            </w:tcBorders>
          </w:tcPr>
          <w:p w14:paraId="29EEBD1A" w14:textId="77777777" w:rsidR="00121F8C" w:rsidRPr="00121F8C" w:rsidRDefault="00121F8C" w:rsidP="00121F8C">
            <w:pPr>
              <w:ind w:left="-108"/>
              <w:contextualSpacing/>
              <w:jc w:val="center"/>
              <w:rPr>
                <w:rFonts w:eastAsia="Calibri"/>
                <w:color w:val="000000"/>
                <w:sz w:val="16"/>
                <w:szCs w:val="16"/>
                <w:lang w:val="tr-TR"/>
              </w:rPr>
            </w:pPr>
            <w:r w:rsidRPr="00121F8C">
              <w:rPr>
                <w:rFonts w:eastAsia="Calibri"/>
                <w:color w:val="000000"/>
                <w:sz w:val="16"/>
                <w:szCs w:val="16"/>
                <w:lang w:val="tr-TR"/>
              </w:rPr>
              <w:t>Std.Dev.</w:t>
            </w:r>
          </w:p>
        </w:tc>
        <w:tc>
          <w:tcPr>
            <w:tcW w:w="709" w:type="dxa"/>
            <w:vMerge/>
            <w:tcBorders>
              <w:bottom w:val="single" w:sz="4" w:space="0" w:color="auto"/>
            </w:tcBorders>
          </w:tcPr>
          <w:p w14:paraId="46D95E65" w14:textId="77777777" w:rsidR="00121F8C" w:rsidRPr="00121F8C" w:rsidRDefault="00121F8C" w:rsidP="00121F8C">
            <w:pPr>
              <w:contextualSpacing/>
              <w:jc w:val="center"/>
              <w:rPr>
                <w:rFonts w:eastAsia="Calibri"/>
                <w:color w:val="000000"/>
                <w:sz w:val="16"/>
                <w:szCs w:val="16"/>
                <w:lang w:val="tr-TR"/>
              </w:rPr>
            </w:pPr>
          </w:p>
        </w:tc>
      </w:tr>
      <w:tr w:rsidR="00121F8C" w:rsidRPr="00121F8C" w14:paraId="753D7505" w14:textId="77777777" w:rsidTr="004160C7">
        <w:trPr>
          <w:trHeight w:val="171"/>
          <w:jc w:val="center"/>
        </w:trPr>
        <w:tc>
          <w:tcPr>
            <w:tcW w:w="1701" w:type="dxa"/>
            <w:vAlign w:val="center"/>
          </w:tcPr>
          <w:p w14:paraId="57ADB99F" w14:textId="77777777" w:rsidR="00121F8C" w:rsidRPr="00121F8C" w:rsidRDefault="00121F8C" w:rsidP="00121F8C">
            <w:pPr>
              <w:ind w:left="-89"/>
              <w:jc w:val="both"/>
              <w:rPr>
                <w:color w:val="000000"/>
                <w:sz w:val="16"/>
                <w:szCs w:val="16"/>
                <w:lang w:val="en-GB" w:eastAsia="en-GB"/>
              </w:rPr>
            </w:pPr>
            <w:r w:rsidRPr="00121F8C">
              <w:rPr>
                <w:sz w:val="16"/>
                <w:szCs w:val="16"/>
                <w:lang w:val="en-GB" w:eastAsia="en-GB"/>
              </w:rPr>
              <w:t>Social Acceptance</w:t>
            </w:r>
          </w:p>
        </w:tc>
        <w:tc>
          <w:tcPr>
            <w:tcW w:w="993" w:type="dxa"/>
            <w:vAlign w:val="center"/>
          </w:tcPr>
          <w:p w14:paraId="3EB6F243" w14:textId="77777777" w:rsidR="00121F8C" w:rsidRPr="00121F8C" w:rsidRDefault="00121F8C" w:rsidP="00121F8C">
            <w:pPr>
              <w:ind w:left="-108"/>
              <w:contextualSpacing/>
              <w:jc w:val="center"/>
              <w:rPr>
                <w:rFonts w:eastAsia="Calibri"/>
                <w:bCs/>
                <w:color w:val="000000"/>
                <w:sz w:val="16"/>
                <w:szCs w:val="16"/>
                <w:lang w:val="tr-TR"/>
              </w:rPr>
            </w:pPr>
            <w:r w:rsidRPr="00121F8C">
              <w:rPr>
                <w:rFonts w:eastAsia="Calibri"/>
                <w:bCs/>
                <w:color w:val="000000"/>
                <w:sz w:val="16"/>
                <w:szCs w:val="16"/>
                <w:lang w:val="tr-TR"/>
              </w:rPr>
              <w:t>37.911</w:t>
            </w:r>
          </w:p>
        </w:tc>
        <w:tc>
          <w:tcPr>
            <w:tcW w:w="708" w:type="dxa"/>
            <w:vAlign w:val="center"/>
          </w:tcPr>
          <w:p w14:paraId="0B78C497" w14:textId="77777777" w:rsidR="00121F8C" w:rsidRPr="00121F8C" w:rsidRDefault="00121F8C" w:rsidP="00121F8C">
            <w:pPr>
              <w:ind w:left="-108"/>
              <w:contextualSpacing/>
              <w:jc w:val="center"/>
              <w:rPr>
                <w:rFonts w:eastAsia="Calibri"/>
                <w:bCs/>
                <w:color w:val="000000"/>
                <w:sz w:val="16"/>
                <w:szCs w:val="16"/>
                <w:lang w:val="tr-TR"/>
              </w:rPr>
            </w:pPr>
            <w:r w:rsidRPr="00121F8C">
              <w:rPr>
                <w:rFonts w:eastAsia="Calibri"/>
                <w:bCs/>
                <w:color w:val="000000"/>
                <w:sz w:val="16"/>
                <w:szCs w:val="16"/>
                <w:lang w:val="tr-TR"/>
              </w:rPr>
              <w:t>7.810</w:t>
            </w:r>
          </w:p>
        </w:tc>
        <w:tc>
          <w:tcPr>
            <w:tcW w:w="709" w:type="dxa"/>
            <w:vAlign w:val="center"/>
          </w:tcPr>
          <w:p w14:paraId="331A9CF0" w14:textId="77777777" w:rsidR="00121F8C" w:rsidRPr="00121F8C" w:rsidRDefault="00121F8C" w:rsidP="00121F8C">
            <w:pPr>
              <w:ind w:left="-108"/>
              <w:contextualSpacing/>
              <w:jc w:val="center"/>
              <w:rPr>
                <w:rFonts w:eastAsia="Calibri"/>
                <w:bCs/>
                <w:color w:val="000000"/>
                <w:sz w:val="16"/>
                <w:szCs w:val="16"/>
                <w:lang w:val="tr-TR"/>
              </w:rPr>
            </w:pPr>
            <w:r w:rsidRPr="00121F8C">
              <w:rPr>
                <w:rFonts w:eastAsia="Calibri"/>
                <w:bCs/>
                <w:color w:val="000000"/>
                <w:sz w:val="16"/>
                <w:szCs w:val="16"/>
                <w:lang w:val="tr-TR"/>
              </w:rPr>
              <w:t>39.261</w:t>
            </w:r>
          </w:p>
        </w:tc>
        <w:tc>
          <w:tcPr>
            <w:tcW w:w="709" w:type="dxa"/>
            <w:vAlign w:val="center"/>
          </w:tcPr>
          <w:p w14:paraId="1F0372FD" w14:textId="77777777" w:rsidR="00121F8C" w:rsidRPr="00121F8C" w:rsidRDefault="00121F8C" w:rsidP="00121F8C">
            <w:pPr>
              <w:ind w:left="-108"/>
              <w:contextualSpacing/>
              <w:jc w:val="center"/>
              <w:rPr>
                <w:rFonts w:eastAsia="Calibri"/>
                <w:bCs/>
                <w:color w:val="000000"/>
                <w:sz w:val="16"/>
                <w:szCs w:val="16"/>
                <w:lang w:val="tr-TR"/>
              </w:rPr>
            </w:pPr>
            <w:r w:rsidRPr="00121F8C">
              <w:rPr>
                <w:rFonts w:eastAsia="Calibri"/>
                <w:bCs/>
                <w:color w:val="000000"/>
                <w:sz w:val="16"/>
                <w:szCs w:val="16"/>
                <w:lang w:val="tr-TR"/>
              </w:rPr>
              <w:t>7.391</w:t>
            </w:r>
          </w:p>
        </w:tc>
        <w:tc>
          <w:tcPr>
            <w:tcW w:w="709" w:type="dxa"/>
            <w:tcBorders>
              <w:top w:val="single" w:sz="4" w:space="0" w:color="auto"/>
            </w:tcBorders>
            <w:vAlign w:val="center"/>
          </w:tcPr>
          <w:p w14:paraId="625F188B" w14:textId="77777777" w:rsidR="00121F8C" w:rsidRPr="00121F8C" w:rsidRDefault="00121F8C" w:rsidP="00121F8C">
            <w:pPr>
              <w:ind w:left="-108"/>
              <w:contextualSpacing/>
              <w:jc w:val="center"/>
              <w:rPr>
                <w:rFonts w:eastAsia="Calibri"/>
                <w:bCs/>
                <w:color w:val="000000"/>
                <w:sz w:val="16"/>
                <w:szCs w:val="16"/>
                <w:lang w:val="tr-TR"/>
              </w:rPr>
            </w:pPr>
            <w:r w:rsidRPr="00121F8C">
              <w:rPr>
                <w:rFonts w:eastAsia="Calibri"/>
                <w:bCs/>
                <w:color w:val="000000"/>
                <w:sz w:val="16"/>
                <w:szCs w:val="16"/>
                <w:lang w:val="tr-TR"/>
              </w:rPr>
              <w:t>.201</w:t>
            </w:r>
          </w:p>
        </w:tc>
      </w:tr>
      <w:tr w:rsidR="00121F8C" w:rsidRPr="00121F8C" w14:paraId="52A17C8E" w14:textId="77777777" w:rsidTr="004160C7">
        <w:trPr>
          <w:trHeight w:val="63"/>
          <w:jc w:val="center"/>
        </w:trPr>
        <w:tc>
          <w:tcPr>
            <w:tcW w:w="1701" w:type="dxa"/>
            <w:vAlign w:val="center"/>
          </w:tcPr>
          <w:p w14:paraId="51BF2991" w14:textId="77777777" w:rsidR="00121F8C" w:rsidRPr="00121F8C" w:rsidRDefault="00121F8C" w:rsidP="00121F8C">
            <w:pPr>
              <w:ind w:left="-89"/>
              <w:jc w:val="both"/>
              <w:rPr>
                <w:color w:val="000000"/>
                <w:sz w:val="16"/>
                <w:szCs w:val="16"/>
                <w:lang w:val="en-GB" w:eastAsia="en-GB"/>
              </w:rPr>
            </w:pPr>
            <w:r w:rsidRPr="00121F8C">
              <w:rPr>
                <w:sz w:val="16"/>
                <w:szCs w:val="16"/>
                <w:lang w:val="en-GB" w:eastAsia="en-GB"/>
              </w:rPr>
              <w:t>Student Behaviour</w:t>
            </w:r>
          </w:p>
        </w:tc>
        <w:tc>
          <w:tcPr>
            <w:tcW w:w="993" w:type="dxa"/>
            <w:vAlign w:val="center"/>
          </w:tcPr>
          <w:p w14:paraId="2DAA771E" w14:textId="77777777" w:rsidR="00121F8C" w:rsidRPr="00121F8C" w:rsidRDefault="00121F8C" w:rsidP="00121F8C">
            <w:pPr>
              <w:ind w:left="-108"/>
              <w:contextualSpacing/>
              <w:jc w:val="center"/>
              <w:rPr>
                <w:rFonts w:eastAsia="Calibri"/>
                <w:color w:val="000000"/>
                <w:sz w:val="16"/>
                <w:szCs w:val="16"/>
                <w:lang w:val="tr-TR"/>
              </w:rPr>
            </w:pPr>
            <w:r w:rsidRPr="00121F8C">
              <w:rPr>
                <w:rFonts w:eastAsia="Calibri"/>
                <w:color w:val="000000"/>
                <w:sz w:val="16"/>
                <w:szCs w:val="16"/>
                <w:lang w:val="tr-TR"/>
              </w:rPr>
              <w:t>25.188</w:t>
            </w:r>
          </w:p>
        </w:tc>
        <w:tc>
          <w:tcPr>
            <w:tcW w:w="708" w:type="dxa"/>
            <w:vAlign w:val="center"/>
          </w:tcPr>
          <w:p w14:paraId="7FA892C3" w14:textId="77777777" w:rsidR="00121F8C" w:rsidRPr="00121F8C" w:rsidRDefault="00121F8C" w:rsidP="00121F8C">
            <w:pPr>
              <w:ind w:left="-108"/>
              <w:contextualSpacing/>
              <w:jc w:val="center"/>
              <w:rPr>
                <w:rFonts w:eastAsia="Calibri"/>
                <w:color w:val="000000"/>
                <w:sz w:val="16"/>
                <w:szCs w:val="16"/>
                <w:lang w:val="tr-TR"/>
              </w:rPr>
            </w:pPr>
            <w:r w:rsidRPr="00121F8C">
              <w:rPr>
                <w:rFonts w:eastAsia="Calibri"/>
                <w:color w:val="000000"/>
                <w:sz w:val="16"/>
                <w:szCs w:val="16"/>
                <w:lang w:val="tr-TR"/>
              </w:rPr>
              <w:t>2.647</w:t>
            </w:r>
          </w:p>
        </w:tc>
        <w:tc>
          <w:tcPr>
            <w:tcW w:w="709" w:type="dxa"/>
            <w:vAlign w:val="center"/>
          </w:tcPr>
          <w:p w14:paraId="01132D04" w14:textId="77777777" w:rsidR="00121F8C" w:rsidRPr="00121F8C" w:rsidRDefault="00121F8C" w:rsidP="00121F8C">
            <w:pPr>
              <w:ind w:left="-108"/>
              <w:contextualSpacing/>
              <w:jc w:val="center"/>
              <w:rPr>
                <w:rFonts w:eastAsia="Calibri"/>
                <w:color w:val="000000"/>
                <w:sz w:val="16"/>
                <w:szCs w:val="16"/>
                <w:lang w:val="tr-TR"/>
              </w:rPr>
            </w:pPr>
            <w:r w:rsidRPr="00121F8C">
              <w:rPr>
                <w:rFonts w:eastAsia="Calibri"/>
                <w:color w:val="000000"/>
                <w:sz w:val="16"/>
                <w:szCs w:val="16"/>
                <w:lang w:val="tr-TR"/>
              </w:rPr>
              <w:t>25.600</w:t>
            </w:r>
          </w:p>
        </w:tc>
        <w:tc>
          <w:tcPr>
            <w:tcW w:w="709" w:type="dxa"/>
            <w:vAlign w:val="center"/>
          </w:tcPr>
          <w:p w14:paraId="57B2B4C3" w14:textId="77777777" w:rsidR="00121F8C" w:rsidRPr="00121F8C" w:rsidRDefault="00121F8C" w:rsidP="00121F8C">
            <w:pPr>
              <w:ind w:left="-108"/>
              <w:contextualSpacing/>
              <w:jc w:val="center"/>
              <w:rPr>
                <w:rFonts w:eastAsia="Calibri"/>
                <w:color w:val="000000"/>
                <w:sz w:val="16"/>
                <w:szCs w:val="16"/>
                <w:lang w:val="tr-TR"/>
              </w:rPr>
            </w:pPr>
            <w:r w:rsidRPr="00121F8C">
              <w:rPr>
                <w:rFonts w:eastAsia="Calibri"/>
                <w:color w:val="000000"/>
                <w:sz w:val="16"/>
                <w:szCs w:val="16"/>
                <w:lang w:val="tr-TR"/>
              </w:rPr>
              <w:t>2,604</w:t>
            </w:r>
          </w:p>
        </w:tc>
        <w:tc>
          <w:tcPr>
            <w:tcW w:w="709" w:type="dxa"/>
            <w:vAlign w:val="center"/>
          </w:tcPr>
          <w:p w14:paraId="7DCD9386" w14:textId="77777777" w:rsidR="00121F8C" w:rsidRPr="00121F8C" w:rsidRDefault="00121F8C" w:rsidP="00121F8C">
            <w:pPr>
              <w:ind w:left="-108"/>
              <w:contextualSpacing/>
              <w:jc w:val="center"/>
              <w:rPr>
                <w:rFonts w:eastAsia="Calibri"/>
                <w:color w:val="000000"/>
                <w:sz w:val="16"/>
                <w:szCs w:val="16"/>
                <w:lang w:val="tr-TR"/>
              </w:rPr>
            </w:pPr>
            <w:r w:rsidRPr="00121F8C">
              <w:rPr>
                <w:rFonts w:eastAsia="Calibri"/>
                <w:color w:val="000000"/>
                <w:sz w:val="16"/>
                <w:szCs w:val="16"/>
                <w:lang w:val="tr-TR"/>
              </w:rPr>
              <w:t>.287</w:t>
            </w:r>
          </w:p>
        </w:tc>
      </w:tr>
      <w:tr w:rsidR="00121F8C" w:rsidRPr="00121F8C" w14:paraId="3CF72941" w14:textId="77777777" w:rsidTr="004160C7">
        <w:trPr>
          <w:trHeight w:val="63"/>
          <w:jc w:val="center"/>
        </w:trPr>
        <w:tc>
          <w:tcPr>
            <w:tcW w:w="1701" w:type="dxa"/>
            <w:vAlign w:val="center"/>
          </w:tcPr>
          <w:p w14:paraId="18343D9D" w14:textId="77777777" w:rsidR="00121F8C" w:rsidRPr="00121F8C" w:rsidRDefault="00121F8C" w:rsidP="00121F8C">
            <w:pPr>
              <w:ind w:left="-89"/>
              <w:jc w:val="both"/>
              <w:rPr>
                <w:color w:val="000000"/>
                <w:sz w:val="16"/>
                <w:szCs w:val="16"/>
                <w:lang w:val="en-GB" w:eastAsia="en-GB"/>
              </w:rPr>
            </w:pPr>
            <w:r w:rsidRPr="00121F8C">
              <w:rPr>
                <w:sz w:val="16"/>
                <w:szCs w:val="16"/>
                <w:lang w:val="en-GB" w:eastAsia="en-GB"/>
              </w:rPr>
              <w:t>Peer Attitude</w:t>
            </w:r>
          </w:p>
        </w:tc>
        <w:tc>
          <w:tcPr>
            <w:tcW w:w="993" w:type="dxa"/>
            <w:vAlign w:val="center"/>
          </w:tcPr>
          <w:p w14:paraId="272C6456" w14:textId="77777777" w:rsidR="00121F8C" w:rsidRPr="00121F8C" w:rsidRDefault="00121F8C" w:rsidP="00121F8C">
            <w:pPr>
              <w:ind w:left="-108"/>
              <w:contextualSpacing/>
              <w:jc w:val="center"/>
              <w:rPr>
                <w:rFonts w:eastAsia="Calibri"/>
                <w:color w:val="000000"/>
                <w:sz w:val="16"/>
                <w:szCs w:val="16"/>
                <w:lang w:val="tr-TR"/>
              </w:rPr>
            </w:pPr>
            <w:r w:rsidRPr="00121F8C">
              <w:rPr>
                <w:rFonts w:eastAsia="Calibri"/>
                <w:color w:val="000000"/>
                <w:sz w:val="16"/>
                <w:szCs w:val="16"/>
                <w:lang w:val="tr-TR"/>
              </w:rPr>
              <w:t>18.388</w:t>
            </w:r>
          </w:p>
        </w:tc>
        <w:tc>
          <w:tcPr>
            <w:tcW w:w="708" w:type="dxa"/>
            <w:vAlign w:val="center"/>
          </w:tcPr>
          <w:p w14:paraId="6D1208D6" w14:textId="77777777" w:rsidR="00121F8C" w:rsidRPr="00121F8C" w:rsidRDefault="00121F8C" w:rsidP="00121F8C">
            <w:pPr>
              <w:ind w:left="-108"/>
              <w:contextualSpacing/>
              <w:jc w:val="center"/>
              <w:rPr>
                <w:rFonts w:eastAsia="Calibri"/>
                <w:color w:val="000000"/>
                <w:sz w:val="16"/>
                <w:szCs w:val="16"/>
                <w:lang w:val="tr-TR"/>
              </w:rPr>
            </w:pPr>
            <w:r w:rsidRPr="00121F8C">
              <w:rPr>
                <w:rFonts w:eastAsia="Calibri"/>
                <w:color w:val="000000"/>
                <w:sz w:val="16"/>
                <w:szCs w:val="16"/>
                <w:lang w:val="tr-TR"/>
              </w:rPr>
              <w:t>2.629</w:t>
            </w:r>
          </w:p>
        </w:tc>
        <w:tc>
          <w:tcPr>
            <w:tcW w:w="709" w:type="dxa"/>
            <w:vAlign w:val="center"/>
          </w:tcPr>
          <w:p w14:paraId="67E9F286" w14:textId="77777777" w:rsidR="00121F8C" w:rsidRPr="00121F8C" w:rsidRDefault="00121F8C" w:rsidP="00121F8C">
            <w:pPr>
              <w:ind w:left="-108"/>
              <w:contextualSpacing/>
              <w:jc w:val="center"/>
              <w:rPr>
                <w:rFonts w:eastAsia="Calibri"/>
                <w:color w:val="000000"/>
                <w:sz w:val="16"/>
                <w:szCs w:val="16"/>
                <w:lang w:val="tr-TR"/>
              </w:rPr>
            </w:pPr>
            <w:r w:rsidRPr="00121F8C">
              <w:rPr>
                <w:rFonts w:eastAsia="Calibri"/>
                <w:color w:val="000000"/>
                <w:sz w:val="16"/>
                <w:szCs w:val="16"/>
                <w:lang w:val="tr-TR"/>
              </w:rPr>
              <w:t>19.238</w:t>
            </w:r>
          </w:p>
        </w:tc>
        <w:tc>
          <w:tcPr>
            <w:tcW w:w="709" w:type="dxa"/>
            <w:vAlign w:val="center"/>
          </w:tcPr>
          <w:p w14:paraId="1509F764" w14:textId="77777777" w:rsidR="00121F8C" w:rsidRPr="00121F8C" w:rsidRDefault="00121F8C" w:rsidP="00121F8C">
            <w:pPr>
              <w:ind w:left="-108"/>
              <w:contextualSpacing/>
              <w:jc w:val="center"/>
              <w:rPr>
                <w:rFonts w:eastAsia="Calibri"/>
                <w:color w:val="000000"/>
                <w:sz w:val="16"/>
                <w:szCs w:val="16"/>
                <w:lang w:val="tr-TR"/>
              </w:rPr>
            </w:pPr>
            <w:r w:rsidRPr="00121F8C">
              <w:rPr>
                <w:rFonts w:eastAsia="Calibri"/>
                <w:color w:val="000000"/>
                <w:sz w:val="16"/>
                <w:szCs w:val="16"/>
                <w:lang w:val="tr-TR"/>
              </w:rPr>
              <w:t>2.018</w:t>
            </w:r>
          </w:p>
        </w:tc>
        <w:tc>
          <w:tcPr>
            <w:tcW w:w="709" w:type="dxa"/>
            <w:vAlign w:val="center"/>
          </w:tcPr>
          <w:p w14:paraId="3A6482B5" w14:textId="77777777" w:rsidR="00121F8C" w:rsidRPr="00121F8C" w:rsidRDefault="00121F8C" w:rsidP="00121F8C">
            <w:pPr>
              <w:ind w:left="-108"/>
              <w:contextualSpacing/>
              <w:jc w:val="center"/>
              <w:rPr>
                <w:rFonts w:eastAsia="Calibri"/>
                <w:color w:val="000000"/>
                <w:sz w:val="16"/>
                <w:szCs w:val="16"/>
                <w:lang w:val="tr-TR"/>
              </w:rPr>
            </w:pPr>
            <w:r w:rsidRPr="00121F8C">
              <w:rPr>
                <w:rFonts w:eastAsia="Calibri"/>
                <w:color w:val="000000"/>
                <w:sz w:val="16"/>
                <w:szCs w:val="16"/>
                <w:lang w:val="tr-TR"/>
              </w:rPr>
              <w:t>.011*</w:t>
            </w:r>
          </w:p>
        </w:tc>
      </w:tr>
      <w:tr w:rsidR="00121F8C" w:rsidRPr="00121F8C" w14:paraId="5750F0DB" w14:textId="77777777" w:rsidTr="004160C7">
        <w:trPr>
          <w:trHeight w:val="63"/>
          <w:jc w:val="center"/>
        </w:trPr>
        <w:tc>
          <w:tcPr>
            <w:tcW w:w="1701" w:type="dxa"/>
            <w:tcBorders>
              <w:bottom w:val="single" w:sz="4" w:space="0" w:color="auto"/>
            </w:tcBorders>
            <w:vAlign w:val="center"/>
          </w:tcPr>
          <w:p w14:paraId="70F671BC" w14:textId="77777777" w:rsidR="00121F8C" w:rsidRPr="00121F8C" w:rsidRDefault="00121F8C" w:rsidP="00121F8C">
            <w:pPr>
              <w:ind w:left="-89"/>
              <w:contextualSpacing/>
              <w:jc w:val="both"/>
              <w:rPr>
                <w:rFonts w:eastAsia="Calibri"/>
                <w:color w:val="000000"/>
                <w:sz w:val="16"/>
                <w:szCs w:val="16"/>
                <w:lang w:val="tr-TR"/>
              </w:rPr>
            </w:pPr>
            <w:r w:rsidRPr="00121F8C">
              <w:rPr>
                <w:rFonts w:eastAsia="Calibri"/>
                <w:sz w:val="16"/>
                <w:szCs w:val="16"/>
                <w:lang w:val="en-GB"/>
              </w:rPr>
              <w:t>Social Acceptance Scale</w:t>
            </w:r>
          </w:p>
        </w:tc>
        <w:tc>
          <w:tcPr>
            <w:tcW w:w="993" w:type="dxa"/>
            <w:tcBorders>
              <w:bottom w:val="single" w:sz="4" w:space="0" w:color="auto"/>
            </w:tcBorders>
            <w:vAlign w:val="center"/>
          </w:tcPr>
          <w:p w14:paraId="3976324F" w14:textId="77777777" w:rsidR="00121F8C" w:rsidRPr="00121F8C" w:rsidRDefault="00121F8C" w:rsidP="00121F8C">
            <w:pPr>
              <w:ind w:left="-108"/>
              <w:contextualSpacing/>
              <w:jc w:val="center"/>
              <w:rPr>
                <w:rFonts w:eastAsia="Calibri"/>
                <w:color w:val="000000"/>
                <w:sz w:val="16"/>
                <w:szCs w:val="16"/>
                <w:lang w:val="tr-TR"/>
              </w:rPr>
            </w:pPr>
            <w:r w:rsidRPr="00121F8C">
              <w:rPr>
                <w:rFonts w:eastAsia="Calibri"/>
                <w:color w:val="000000"/>
                <w:sz w:val="16"/>
                <w:szCs w:val="16"/>
                <w:lang w:val="tr-TR"/>
              </w:rPr>
              <w:t>81.488</w:t>
            </w:r>
          </w:p>
        </w:tc>
        <w:tc>
          <w:tcPr>
            <w:tcW w:w="708" w:type="dxa"/>
            <w:tcBorders>
              <w:bottom w:val="single" w:sz="4" w:space="0" w:color="auto"/>
            </w:tcBorders>
            <w:vAlign w:val="center"/>
          </w:tcPr>
          <w:p w14:paraId="0674C1AA" w14:textId="77777777" w:rsidR="00121F8C" w:rsidRPr="00121F8C" w:rsidRDefault="00121F8C" w:rsidP="00121F8C">
            <w:pPr>
              <w:ind w:left="-108"/>
              <w:contextualSpacing/>
              <w:jc w:val="center"/>
              <w:rPr>
                <w:rFonts w:eastAsia="Calibri"/>
                <w:color w:val="000000"/>
                <w:sz w:val="16"/>
                <w:szCs w:val="16"/>
                <w:lang w:val="tr-TR"/>
              </w:rPr>
            </w:pPr>
            <w:r w:rsidRPr="00121F8C">
              <w:rPr>
                <w:rFonts w:eastAsia="Calibri"/>
                <w:color w:val="000000"/>
                <w:sz w:val="16"/>
                <w:szCs w:val="16"/>
                <w:lang w:val="tr-TR"/>
              </w:rPr>
              <w:t>11.594</w:t>
            </w:r>
          </w:p>
        </w:tc>
        <w:tc>
          <w:tcPr>
            <w:tcW w:w="709" w:type="dxa"/>
            <w:tcBorders>
              <w:bottom w:val="single" w:sz="4" w:space="0" w:color="auto"/>
            </w:tcBorders>
            <w:vAlign w:val="center"/>
          </w:tcPr>
          <w:p w14:paraId="48365CBE" w14:textId="77777777" w:rsidR="00121F8C" w:rsidRPr="00121F8C" w:rsidRDefault="00121F8C" w:rsidP="00121F8C">
            <w:pPr>
              <w:ind w:left="-108"/>
              <w:contextualSpacing/>
              <w:jc w:val="center"/>
              <w:rPr>
                <w:rFonts w:eastAsia="Calibri"/>
                <w:color w:val="000000"/>
                <w:sz w:val="16"/>
                <w:szCs w:val="16"/>
                <w:lang w:val="tr-TR"/>
              </w:rPr>
            </w:pPr>
            <w:r w:rsidRPr="00121F8C">
              <w:rPr>
                <w:rFonts w:eastAsia="Calibri"/>
                <w:color w:val="000000"/>
                <w:sz w:val="16"/>
                <w:szCs w:val="16"/>
                <w:lang w:val="tr-TR"/>
              </w:rPr>
              <w:t>84.100</w:t>
            </w:r>
          </w:p>
        </w:tc>
        <w:tc>
          <w:tcPr>
            <w:tcW w:w="709" w:type="dxa"/>
            <w:tcBorders>
              <w:bottom w:val="single" w:sz="4" w:space="0" w:color="auto"/>
            </w:tcBorders>
            <w:vAlign w:val="center"/>
          </w:tcPr>
          <w:p w14:paraId="6890B186" w14:textId="77777777" w:rsidR="00121F8C" w:rsidRPr="00121F8C" w:rsidRDefault="00121F8C" w:rsidP="00121F8C">
            <w:pPr>
              <w:ind w:left="-108"/>
              <w:contextualSpacing/>
              <w:jc w:val="center"/>
              <w:rPr>
                <w:rFonts w:eastAsia="Calibri"/>
                <w:color w:val="000000"/>
                <w:sz w:val="16"/>
                <w:szCs w:val="16"/>
                <w:lang w:val="tr-TR"/>
              </w:rPr>
            </w:pPr>
            <w:r w:rsidRPr="00121F8C">
              <w:rPr>
                <w:rFonts w:eastAsia="Calibri"/>
                <w:color w:val="000000"/>
                <w:sz w:val="16"/>
                <w:szCs w:val="16"/>
                <w:lang w:val="tr-TR"/>
              </w:rPr>
              <w:t>10.867</w:t>
            </w:r>
          </w:p>
        </w:tc>
        <w:tc>
          <w:tcPr>
            <w:tcW w:w="709" w:type="dxa"/>
            <w:tcBorders>
              <w:bottom w:val="single" w:sz="4" w:space="0" w:color="auto"/>
            </w:tcBorders>
            <w:vAlign w:val="center"/>
          </w:tcPr>
          <w:p w14:paraId="11F74CFB" w14:textId="77777777" w:rsidR="00121F8C" w:rsidRPr="00121F8C" w:rsidRDefault="00121F8C" w:rsidP="00121F8C">
            <w:pPr>
              <w:ind w:left="-108"/>
              <w:contextualSpacing/>
              <w:jc w:val="center"/>
              <w:rPr>
                <w:rFonts w:eastAsia="Calibri"/>
                <w:color w:val="000000"/>
                <w:sz w:val="16"/>
                <w:szCs w:val="16"/>
                <w:lang w:val="tr-TR"/>
              </w:rPr>
            </w:pPr>
            <w:r w:rsidRPr="00121F8C">
              <w:rPr>
                <w:rFonts w:eastAsia="Calibri"/>
                <w:color w:val="000000"/>
                <w:sz w:val="16"/>
                <w:szCs w:val="16"/>
                <w:lang w:val="tr-TR"/>
              </w:rPr>
              <w:t>.096</w:t>
            </w:r>
          </w:p>
        </w:tc>
      </w:tr>
    </w:tbl>
    <w:p w14:paraId="5734D9D3" w14:textId="7CB84721" w:rsidR="00121F8C" w:rsidRPr="00121F8C" w:rsidRDefault="00121F8C" w:rsidP="00121F8C">
      <w:pPr>
        <w:jc w:val="both"/>
        <w:rPr>
          <w:color w:val="000000"/>
          <w:sz w:val="16"/>
          <w:szCs w:val="16"/>
          <w:lang w:val="en-GB" w:eastAsia="en-GB"/>
        </w:rPr>
      </w:pPr>
      <w:r>
        <w:rPr>
          <w:color w:val="000000"/>
          <w:sz w:val="16"/>
          <w:szCs w:val="16"/>
          <w:lang w:val="en-GB" w:eastAsia="en-GB"/>
        </w:rPr>
        <w:t xml:space="preserve">      </w:t>
      </w:r>
      <w:r w:rsidR="004160C7">
        <w:rPr>
          <w:color w:val="000000"/>
          <w:sz w:val="16"/>
          <w:szCs w:val="16"/>
          <w:lang w:val="en-GB" w:eastAsia="en-GB"/>
        </w:rPr>
        <w:t xml:space="preserve">                                   </w:t>
      </w:r>
      <w:r w:rsidRPr="00121F8C">
        <w:rPr>
          <w:color w:val="000000"/>
          <w:sz w:val="16"/>
          <w:szCs w:val="16"/>
          <w:lang w:val="en-GB" w:eastAsia="en-GB"/>
        </w:rPr>
        <w:t>*p&lt;.05</w:t>
      </w:r>
    </w:p>
    <w:p w14:paraId="3A8C4F2A" w14:textId="77777777" w:rsidR="000F279B" w:rsidRDefault="000F279B" w:rsidP="00904D6D">
      <w:pPr>
        <w:rPr>
          <w:b/>
          <w:bCs/>
          <w:lang w:val="id-ID"/>
        </w:rPr>
      </w:pPr>
    </w:p>
    <w:p w14:paraId="1B7405C1" w14:textId="77777777" w:rsidR="0068194E" w:rsidRPr="0068194E" w:rsidRDefault="0068194E" w:rsidP="0068194E">
      <w:pPr>
        <w:ind w:firstLine="720"/>
        <w:jc w:val="both"/>
        <w:rPr>
          <w:lang w:val="en-GB" w:eastAsia="en-GB"/>
        </w:rPr>
      </w:pPr>
      <w:r w:rsidRPr="0068194E">
        <w:rPr>
          <w:lang w:val="en-GB" w:eastAsia="en-GB"/>
        </w:rPr>
        <w:t>When Table 1 was examined, no significant difference was found between the total score averages of the social acceptance scale subscales, "social skills", "student behaviour" subscales and "social acceptance" scale of the participants with normal development by gender. However, a significant difference was found according to the "Peer Attitude" subscale of the social acceptance scale. Accordingly, it was observed that female students' peer attitude towards students with special needs was higher than male students.</w:t>
      </w:r>
    </w:p>
    <w:p w14:paraId="4D0D7589" w14:textId="77777777" w:rsidR="0068194E" w:rsidRPr="0068194E" w:rsidRDefault="0068194E" w:rsidP="0068194E">
      <w:pPr>
        <w:jc w:val="both"/>
        <w:rPr>
          <w:lang w:val="en-GB" w:eastAsia="en-GB"/>
        </w:rPr>
      </w:pPr>
    </w:p>
    <w:p w14:paraId="1862D9FF" w14:textId="77777777" w:rsidR="0068194E" w:rsidRPr="0068194E" w:rsidRDefault="0068194E" w:rsidP="0068194E">
      <w:pPr>
        <w:jc w:val="center"/>
        <w:rPr>
          <w:lang w:val="en-GB" w:eastAsia="en-GB"/>
        </w:rPr>
      </w:pPr>
      <w:r w:rsidRPr="0068194E">
        <w:rPr>
          <w:bCs/>
          <w:lang w:val="en-GB" w:eastAsia="en-GB"/>
        </w:rPr>
        <w:t xml:space="preserve">Table 2. </w:t>
      </w:r>
      <w:r w:rsidRPr="0068194E">
        <w:rPr>
          <w:lang w:val="en-GB" w:eastAsia="en-GB"/>
        </w:rPr>
        <w:t>Social acceptance scale and social acceptance sub-scale score averages analysis by class level of participants</w:t>
      </w:r>
    </w:p>
    <w:tbl>
      <w:tblPr>
        <w:tblW w:w="5387" w:type="dxa"/>
        <w:jc w:val="center"/>
        <w:tblLayout w:type="fixed"/>
        <w:tblLook w:val="04A0" w:firstRow="1" w:lastRow="0" w:firstColumn="1" w:lastColumn="0" w:noHBand="0" w:noVBand="1"/>
      </w:tblPr>
      <w:tblGrid>
        <w:gridCol w:w="1701"/>
        <w:gridCol w:w="709"/>
        <w:gridCol w:w="709"/>
        <w:gridCol w:w="709"/>
        <w:gridCol w:w="708"/>
        <w:gridCol w:w="851"/>
      </w:tblGrid>
      <w:tr w:rsidR="0068194E" w:rsidRPr="0068194E" w14:paraId="197B54A0" w14:textId="77777777" w:rsidTr="00B447BC">
        <w:trPr>
          <w:trHeight w:val="74"/>
          <w:jc w:val="center"/>
        </w:trPr>
        <w:tc>
          <w:tcPr>
            <w:tcW w:w="1701" w:type="dxa"/>
            <w:vMerge w:val="restart"/>
            <w:tcBorders>
              <w:top w:val="single" w:sz="4" w:space="0" w:color="auto"/>
              <w:bottom w:val="single" w:sz="4" w:space="0" w:color="auto"/>
            </w:tcBorders>
          </w:tcPr>
          <w:p w14:paraId="2351BB38" w14:textId="77777777" w:rsidR="0068194E" w:rsidRPr="0068194E" w:rsidRDefault="0068194E" w:rsidP="000A25ED">
            <w:pPr>
              <w:contextualSpacing/>
              <w:rPr>
                <w:rFonts w:eastAsia="Calibri"/>
                <w:color w:val="000000"/>
                <w:sz w:val="16"/>
                <w:szCs w:val="16"/>
                <w:lang w:val="tr-TR"/>
              </w:rPr>
            </w:pPr>
            <w:r w:rsidRPr="0068194E">
              <w:rPr>
                <w:rFonts w:eastAsia="Calibri"/>
                <w:color w:val="000000"/>
                <w:sz w:val="16"/>
                <w:szCs w:val="16"/>
                <w:lang w:val="tr-TR" w:bidi="th-TH"/>
              </w:rPr>
              <w:t>Dependent Variables</w:t>
            </w:r>
          </w:p>
        </w:tc>
        <w:tc>
          <w:tcPr>
            <w:tcW w:w="2835" w:type="dxa"/>
            <w:gridSpan w:val="4"/>
            <w:tcBorders>
              <w:top w:val="single" w:sz="4" w:space="0" w:color="auto"/>
            </w:tcBorders>
          </w:tcPr>
          <w:p w14:paraId="118813EF" w14:textId="77777777" w:rsidR="0068194E" w:rsidRPr="0068194E" w:rsidRDefault="0068194E" w:rsidP="0068194E">
            <w:pPr>
              <w:contextualSpacing/>
              <w:jc w:val="center"/>
              <w:rPr>
                <w:rFonts w:eastAsia="Calibri"/>
                <w:color w:val="000000"/>
                <w:sz w:val="16"/>
                <w:szCs w:val="16"/>
                <w:lang w:val="tr-TR"/>
              </w:rPr>
            </w:pPr>
            <w:r w:rsidRPr="0068194E">
              <w:rPr>
                <w:rFonts w:eastAsia="Calibri"/>
                <w:sz w:val="16"/>
                <w:szCs w:val="16"/>
                <w:lang w:val="en-GB"/>
              </w:rPr>
              <w:t>Class Level</w:t>
            </w:r>
          </w:p>
        </w:tc>
        <w:tc>
          <w:tcPr>
            <w:tcW w:w="851" w:type="dxa"/>
            <w:vMerge w:val="restart"/>
            <w:tcBorders>
              <w:top w:val="single" w:sz="4" w:space="0" w:color="auto"/>
              <w:bottom w:val="single" w:sz="4" w:space="0" w:color="auto"/>
            </w:tcBorders>
            <w:vAlign w:val="center"/>
          </w:tcPr>
          <w:p w14:paraId="2C718155" w14:textId="77777777" w:rsidR="0068194E" w:rsidRPr="0068194E" w:rsidRDefault="0068194E" w:rsidP="0068194E">
            <w:pPr>
              <w:contextualSpacing/>
              <w:jc w:val="both"/>
              <w:rPr>
                <w:rFonts w:eastAsia="Calibri"/>
                <w:color w:val="000000"/>
                <w:sz w:val="16"/>
                <w:szCs w:val="16"/>
                <w:lang w:val="tr-TR"/>
              </w:rPr>
            </w:pPr>
            <w:r w:rsidRPr="0068194E">
              <w:rPr>
                <w:rFonts w:eastAsia="Calibri"/>
                <w:color w:val="000000"/>
                <w:sz w:val="16"/>
                <w:szCs w:val="16"/>
                <w:lang w:val="tr-TR"/>
              </w:rPr>
              <w:t>P-Value (Sig.)</w:t>
            </w:r>
          </w:p>
        </w:tc>
      </w:tr>
      <w:tr w:rsidR="0068194E" w:rsidRPr="0068194E" w14:paraId="1EEAC02E" w14:textId="77777777" w:rsidTr="00B447BC">
        <w:trPr>
          <w:trHeight w:val="53"/>
          <w:jc w:val="center"/>
        </w:trPr>
        <w:tc>
          <w:tcPr>
            <w:tcW w:w="1701" w:type="dxa"/>
            <w:vMerge/>
            <w:tcBorders>
              <w:bottom w:val="single" w:sz="4" w:space="0" w:color="auto"/>
            </w:tcBorders>
          </w:tcPr>
          <w:p w14:paraId="2B6A4130" w14:textId="77777777" w:rsidR="0068194E" w:rsidRPr="0068194E" w:rsidRDefault="0068194E" w:rsidP="0068194E">
            <w:pPr>
              <w:contextualSpacing/>
              <w:jc w:val="both"/>
              <w:rPr>
                <w:rFonts w:eastAsia="Calibri"/>
                <w:color w:val="000000"/>
                <w:sz w:val="16"/>
                <w:szCs w:val="16"/>
                <w:lang w:val="tr-TR"/>
              </w:rPr>
            </w:pPr>
          </w:p>
        </w:tc>
        <w:tc>
          <w:tcPr>
            <w:tcW w:w="1418" w:type="dxa"/>
            <w:gridSpan w:val="2"/>
          </w:tcPr>
          <w:p w14:paraId="265397B8" w14:textId="77777777" w:rsidR="0068194E" w:rsidRPr="0068194E" w:rsidRDefault="0068194E" w:rsidP="0068194E">
            <w:pPr>
              <w:contextualSpacing/>
              <w:jc w:val="center"/>
              <w:rPr>
                <w:rFonts w:eastAsia="Calibri"/>
                <w:color w:val="000000"/>
                <w:sz w:val="16"/>
                <w:szCs w:val="16"/>
                <w:lang w:val="tr-TR"/>
              </w:rPr>
            </w:pPr>
            <w:r w:rsidRPr="0068194E">
              <w:rPr>
                <w:rFonts w:eastAsia="Calibri"/>
                <w:sz w:val="16"/>
                <w:szCs w:val="16"/>
                <w:lang w:val="en-GB"/>
              </w:rPr>
              <w:t>6</w:t>
            </w:r>
            <w:r w:rsidRPr="0068194E">
              <w:rPr>
                <w:rFonts w:eastAsia="Calibri"/>
                <w:sz w:val="16"/>
                <w:szCs w:val="16"/>
                <w:vertAlign w:val="superscript"/>
                <w:lang w:val="en-GB"/>
              </w:rPr>
              <w:t>th</w:t>
            </w:r>
            <w:r w:rsidRPr="0068194E">
              <w:rPr>
                <w:rFonts w:eastAsia="Calibri"/>
                <w:sz w:val="16"/>
                <w:szCs w:val="16"/>
                <w:lang w:val="en-GB"/>
              </w:rPr>
              <w:t xml:space="preserve"> grade</w:t>
            </w:r>
          </w:p>
        </w:tc>
        <w:tc>
          <w:tcPr>
            <w:tcW w:w="1417" w:type="dxa"/>
            <w:gridSpan w:val="2"/>
          </w:tcPr>
          <w:p w14:paraId="6FF03A0B" w14:textId="77777777" w:rsidR="0068194E" w:rsidRPr="0068194E" w:rsidRDefault="0068194E" w:rsidP="0068194E">
            <w:pPr>
              <w:contextualSpacing/>
              <w:jc w:val="center"/>
              <w:rPr>
                <w:rFonts w:eastAsia="Calibri"/>
                <w:color w:val="000000"/>
                <w:sz w:val="16"/>
                <w:szCs w:val="16"/>
                <w:lang w:val="tr-TR"/>
              </w:rPr>
            </w:pPr>
            <w:r w:rsidRPr="0068194E">
              <w:rPr>
                <w:rFonts w:eastAsia="Calibri"/>
                <w:sz w:val="16"/>
                <w:szCs w:val="16"/>
                <w:lang w:val="en-GB"/>
              </w:rPr>
              <w:t>7</w:t>
            </w:r>
            <w:r w:rsidRPr="0068194E">
              <w:rPr>
                <w:rFonts w:eastAsia="Calibri"/>
                <w:sz w:val="16"/>
                <w:szCs w:val="16"/>
                <w:vertAlign w:val="superscript"/>
                <w:lang w:val="en-GB"/>
              </w:rPr>
              <w:t>th</w:t>
            </w:r>
            <w:r w:rsidRPr="0068194E">
              <w:rPr>
                <w:rFonts w:eastAsia="Calibri"/>
                <w:sz w:val="16"/>
                <w:szCs w:val="16"/>
                <w:lang w:val="en-GB"/>
              </w:rPr>
              <w:t xml:space="preserve"> grade</w:t>
            </w:r>
          </w:p>
        </w:tc>
        <w:tc>
          <w:tcPr>
            <w:tcW w:w="851" w:type="dxa"/>
            <w:vMerge/>
            <w:tcBorders>
              <w:bottom w:val="single" w:sz="4" w:space="0" w:color="auto"/>
            </w:tcBorders>
          </w:tcPr>
          <w:p w14:paraId="6DEFADC8" w14:textId="77777777" w:rsidR="0068194E" w:rsidRPr="0068194E" w:rsidRDefault="0068194E" w:rsidP="0068194E">
            <w:pPr>
              <w:contextualSpacing/>
              <w:jc w:val="both"/>
              <w:rPr>
                <w:rFonts w:eastAsia="Calibri"/>
                <w:color w:val="000000"/>
                <w:sz w:val="16"/>
                <w:szCs w:val="16"/>
                <w:lang w:val="tr-TR"/>
              </w:rPr>
            </w:pPr>
          </w:p>
        </w:tc>
      </w:tr>
      <w:tr w:rsidR="0068194E" w:rsidRPr="0068194E" w14:paraId="4C979EC1" w14:textId="77777777" w:rsidTr="00B447BC">
        <w:trPr>
          <w:trHeight w:val="53"/>
          <w:jc w:val="center"/>
        </w:trPr>
        <w:tc>
          <w:tcPr>
            <w:tcW w:w="1701" w:type="dxa"/>
            <w:vMerge/>
            <w:tcBorders>
              <w:bottom w:val="single" w:sz="4" w:space="0" w:color="auto"/>
            </w:tcBorders>
          </w:tcPr>
          <w:p w14:paraId="2EDB5531" w14:textId="77777777" w:rsidR="0068194E" w:rsidRPr="0068194E" w:rsidRDefault="0068194E" w:rsidP="0068194E">
            <w:pPr>
              <w:contextualSpacing/>
              <w:jc w:val="both"/>
              <w:rPr>
                <w:rFonts w:eastAsia="Calibri"/>
                <w:color w:val="000000"/>
                <w:sz w:val="16"/>
                <w:szCs w:val="16"/>
                <w:lang w:val="tr-TR"/>
              </w:rPr>
            </w:pPr>
          </w:p>
        </w:tc>
        <w:tc>
          <w:tcPr>
            <w:tcW w:w="709" w:type="dxa"/>
            <w:tcBorders>
              <w:bottom w:val="single" w:sz="4" w:space="0" w:color="auto"/>
            </w:tcBorders>
          </w:tcPr>
          <w:p w14:paraId="2F600049" w14:textId="77777777" w:rsidR="0068194E" w:rsidRPr="0068194E" w:rsidRDefault="0068194E" w:rsidP="0068194E">
            <w:pPr>
              <w:ind w:left="-108"/>
              <w:contextualSpacing/>
              <w:jc w:val="center"/>
              <w:rPr>
                <w:rFonts w:eastAsia="Calibri"/>
                <w:color w:val="000000"/>
                <w:sz w:val="16"/>
                <w:szCs w:val="16"/>
                <w:lang w:val="tr-TR"/>
              </w:rPr>
            </w:pPr>
            <w:r w:rsidRPr="0068194E">
              <w:rPr>
                <w:rFonts w:eastAsia="Calibri"/>
                <w:color w:val="000000"/>
                <w:sz w:val="16"/>
                <w:szCs w:val="16"/>
                <w:lang w:val="tr-TR"/>
              </w:rPr>
              <w:t>Mean</w:t>
            </w:r>
          </w:p>
        </w:tc>
        <w:tc>
          <w:tcPr>
            <w:tcW w:w="709" w:type="dxa"/>
            <w:tcBorders>
              <w:bottom w:val="single" w:sz="4" w:space="0" w:color="auto"/>
            </w:tcBorders>
          </w:tcPr>
          <w:p w14:paraId="10F7AEF0" w14:textId="77777777" w:rsidR="0068194E" w:rsidRPr="0068194E" w:rsidRDefault="0068194E" w:rsidP="0068194E">
            <w:pPr>
              <w:ind w:left="-108"/>
              <w:contextualSpacing/>
              <w:jc w:val="center"/>
              <w:rPr>
                <w:rFonts w:eastAsia="Calibri"/>
                <w:color w:val="000000"/>
                <w:sz w:val="16"/>
                <w:szCs w:val="16"/>
                <w:lang w:val="tr-TR"/>
              </w:rPr>
            </w:pPr>
            <w:r w:rsidRPr="0068194E">
              <w:rPr>
                <w:rFonts w:eastAsia="Calibri"/>
                <w:color w:val="000000"/>
                <w:sz w:val="16"/>
                <w:szCs w:val="16"/>
                <w:lang w:val="tr-TR"/>
              </w:rPr>
              <w:t>Std.Dev</w:t>
            </w:r>
          </w:p>
        </w:tc>
        <w:tc>
          <w:tcPr>
            <w:tcW w:w="709" w:type="dxa"/>
            <w:tcBorders>
              <w:bottom w:val="single" w:sz="4" w:space="0" w:color="auto"/>
            </w:tcBorders>
          </w:tcPr>
          <w:p w14:paraId="08FEEC6E" w14:textId="77777777" w:rsidR="0068194E" w:rsidRPr="0068194E" w:rsidRDefault="0068194E" w:rsidP="0068194E">
            <w:pPr>
              <w:ind w:left="-108"/>
              <w:contextualSpacing/>
              <w:jc w:val="center"/>
              <w:rPr>
                <w:rFonts w:eastAsia="Calibri"/>
                <w:color w:val="000000"/>
                <w:sz w:val="16"/>
                <w:szCs w:val="16"/>
                <w:lang w:val="tr-TR"/>
              </w:rPr>
            </w:pPr>
            <w:r w:rsidRPr="0068194E">
              <w:rPr>
                <w:rFonts w:eastAsia="Calibri"/>
                <w:color w:val="000000"/>
                <w:sz w:val="16"/>
                <w:szCs w:val="16"/>
                <w:lang w:val="tr-TR"/>
              </w:rPr>
              <w:t>Mean</w:t>
            </w:r>
          </w:p>
        </w:tc>
        <w:tc>
          <w:tcPr>
            <w:tcW w:w="708" w:type="dxa"/>
            <w:tcBorders>
              <w:bottom w:val="single" w:sz="4" w:space="0" w:color="auto"/>
            </w:tcBorders>
          </w:tcPr>
          <w:p w14:paraId="36C0F720" w14:textId="77777777" w:rsidR="0068194E" w:rsidRPr="0068194E" w:rsidRDefault="0068194E" w:rsidP="0068194E">
            <w:pPr>
              <w:ind w:left="-108"/>
              <w:contextualSpacing/>
              <w:jc w:val="center"/>
              <w:rPr>
                <w:rFonts w:eastAsia="Calibri"/>
                <w:color w:val="000000"/>
                <w:sz w:val="16"/>
                <w:szCs w:val="16"/>
                <w:lang w:val="tr-TR"/>
              </w:rPr>
            </w:pPr>
            <w:r w:rsidRPr="0068194E">
              <w:rPr>
                <w:rFonts w:eastAsia="Calibri"/>
                <w:color w:val="000000"/>
                <w:sz w:val="16"/>
                <w:szCs w:val="16"/>
                <w:lang w:val="tr-TR"/>
              </w:rPr>
              <w:t>Std.Dev.</w:t>
            </w:r>
          </w:p>
        </w:tc>
        <w:tc>
          <w:tcPr>
            <w:tcW w:w="851" w:type="dxa"/>
            <w:vMerge/>
            <w:tcBorders>
              <w:bottom w:val="single" w:sz="4" w:space="0" w:color="auto"/>
            </w:tcBorders>
          </w:tcPr>
          <w:p w14:paraId="23D56530" w14:textId="77777777" w:rsidR="0068194E" w:rsidRPr="0068194E" w:rsidRDefault="0068194E" w:rsidP="0068194E">
            <w:pPr>
              <w:contextualSpacing/>
              <w:jc w:val="both"/>
              <w:rPr>
                <w:rFonts w:eastAsia="Calibri"/>
                <w:color w:val="000000"/>
                <w:sz w:val="16"/>
                <w:szCs w:val="16"/>
                <w:lang w:val="tr-TR"/>
              </w:rPr>
            </w:pPr>
          </w:p>
        </w:tc>
      </w:tr>
      <w:tr w:rsidR="0068194E" w:rsidRPr="0068194E" w14:paraId="787D3BE5" w14:textId="77777777" w:rsidTr="00B447BC">
        <w:trPr>
          <w:trHeight w:val="112"/>
          <w:jc w:val="center"/>
        </w:trPr>
        <w:tc>
          <w:tcPr>
            <w:tcW w:w="1701" w:type="dxa"/>
            <w:tcBorders>
              <w:top w:val="single" w:sz="4" w:space="0" w:color="auto"/>
            </w:tcBorders>
            <w:vAlign w:val="center"/>
          </w:tcPr>
          <w:p w14:paraId="6FB2346B" w14:textId="77777777" w:rsidR="0068194E" w:rsidRPr="0068194E" w:rsidRDefault="0068194E" w:rsidP="0068194E">
            <w:pPr>
              <w:ind w:left="-89"/>
              <w:jc w:val="both"/>
              <w:rPr>
                <w:color w:val="000000"/>
                <w:sz w:val="16"/>
                <w:szCs w:val="16"/>
                <w:lang w:val="en-GB" w:eastAsia="en-GB"/>
              </w:rPr>
            </w:pPr>
            <w:r w:rsidRPr="0068194E">
              <w:rPr>
                <w:sz w:val="16"/>
                <w:szCs w:val="16"/>
                <w:lang w:val="en-GB" w:eastAsia="en-GB"/>
              </w:rPr>
              <w:t>Social Acceptance</w:t>
            </w:r>
          </w:p>
        </w:tc>
        <w:tc>
          <w:tcPr>
            <w:tcW w:w="709" w:type="dxa"/>
            <w:tcBorders>
              <w:top w:val="single" w:sz="4" w:space="0" w:color="auto"/>
            </w:tcBorders>
            <w:vAlign w:val="center"/>
          </w:tcPr>
          <w:p w14:paraId="2291D2B3" w14:textId="77777777" w:rsidR="0068194E" w:rsidRPr="0068194E" w:rsidRDefault="0068194E" w:rsidP="0068194E">
            <w:pPr>
              <w:contextualSpacing/>
              <w:jc w:val="center"/>
              <w:rPr>
                <w:rFonts w:eastAsia="Calibri"/>
                <w:bCs/>
                <w:color w:val="000000"/>
                <w:sz w:val="16"/>
                <w:szCs w:val="16"/>
                <w:lang w:val="tr-TR"/>
              </w:rPr>
            </w:pPr>
            <w:r w:rsidRPr="0068194E">
              <w:rPr>
                <w:rFonts w:eastAsia="Calibri"/>
                <w:bCs/>
                <w:color w:val="000000"/>
                <w:sz w:val="16"/>
                <w:szCs w:val="16"/>
                <w:lang w:val="tr-TR"/>
              </w:rPr>
              <w:t>39.236</w:t>
            </w:r>
          </w:p>
        </w:tc>
        <w:tc>
          <w:tcPr>
            <w:tcW w:w="709" w:type="dxa"/>
            <w:tcBorders>
              <w:top w:val="single" w:sz="4" w:space="0" w:color="auto"/>
            </w:tcBorders>
            <w:vAlign w:val="center"/>
          </w:tcPr>
          <w:p w14:paraId="4F4CF12C" w14:textId="77777777" w:rsidR="0068194E" w:rsidRPr="0068194E" w:rsidRDefault="0068194E" w:rsidP="0068194E">
            <w:pPr>
              <w:contextualSpacing/>
              <w:jc w:val="center"/>
              <w:rPr>
                <w:rFonts w:eastAsia="Calibri"/>
                <w:bCs/>
                <w:color w:val="000000"/>
                <w:sz w:val="16"/>
                <w:szCs w:val="16"/>
                <w:lang w:val="tr-TR"/>
              </w:rPr>
            </w:pPr>
            <w:r w:rsidRPr="0068194E">
              <w:rPr>
                <w:rFonts w:eastAsia="Calibri"/>
                <w:bCs/>
                <w:color w:val="000000"/>
                <w:sz w:val="16"/>
                <w:szCs w:val="16"/>
                <w:lang w:val="tr-TR"/>
              </w:rPr>
              <w:t>7.343</w:t>
            </w:r>
          </w:p>
        </w:tc>
        <w:tc>
          <w:tcPr>
            <w:tcW w:w="709" w:type="dxa"/>
            <w:tcBorders>
              <w:top w:val="single" w:sz="4" w:space="0" w:color="auto"/>
            </w:tcBorders>
            <w:vAlign w:val="center"/>
          </w:tcPr>
          <w:p w14:paraId="55CCFE26" w14:textId="77777777" w:rsidR="0068194E" w:rsidRPr="0068194E" w:rsidRDefault="0068194E" w:rsidP="0068194E">
            <w:pPr>
              <w:contextualSpacing/>
              <w:jc w:val="center"/>
              <w:rPr>
                <w:rFonts w:eastAsia="Calibri"/>
                <w:bCs/>
                <w:color w:val="000000"/>
                <w:sz w:val="16"/>
                <w:szCs w:val="16"/>
                <w:lang w:val="tr-TR"/>
              </w:rPr>
            </w:pPr>
            <w:r w:rsidRPr="0068194E">
              <w:rPr>
                <w:rFonts w:eastAsia="Calibri"/>
                <w:bCs/>
                <w:color w:val="000000"/>
                <w:sz w:val="16"/>
                <w:szCs w:val="16"/>
                <w:lang w:val="tr-TR"/>
              </w:rPr>
              <w:t>38.181</w:t>
            </w:r>
          </w:p>
        </w:tc>
        <w:tc>
          <w:tcPr>
            <w:tcW w:w="708" w:type="dxa"/>
            <w:tcBorders>
              <w:top w:val="single" w:sz="4" w:space="0" w:color="auto"/>
            </w:tcBorders>
            <w:vAlign w:val="center"/>
          </w:tcPr>
          <w:p w14:paraId="343ED77D" w14:textId="77777777" w:rsidR="0068194E" w:rsidRPr="0068194E" w:rsidRDefault="0068194E" w:rsidP="0068194E">
            <w:pPr>
              <w:contextualSpacing/>
              <w:jc w:val="center"/>
              <w:rPr>
                <w:rFonts w:eastAsia="Calibri"/>
                <w:bCs/>
                <w:color w:val="000000"/>
                <w:sz w:val="16"/>
                <w:szCs w:val="16"/>
                <w:lang w:val="tr-TR"/>
              </w:rPr>
            </w:pPr>
            <w:r w:rsidRPr="0068194E">
              <w:rPr>
                <w:rFonts w:eastAsia="Calibri"/>
                <w:bCs/>
                <w:color w:val="000000"/>
                <w:sz w:val="16"/>
                <w:szCs w:val="16"/>
                <w:lang w:val="tr-TR"/>
              </w:rPr>
              <w:t>7.801</w:t>
            </w:r>
          </w:p>
        </w:tc>
        <w:tc>
          <w:tcPr>
            <w:tcW w:w="851" w:type="dxa"/>
            <w:tcBorders>
              <w:top w:val="single" w:sz="4" w:space="0" w:color="auto"/>
            </w:tcBorders>
            <w:vAlign w:val="center"/>
          </w:tcPr>
          <w:p w14:paraId="69DDAE86" w14:textId="77777777" w:rsidR="0068194E" w:rsidRPr="0068194E" w:rsidRDefault="0068194E" w:rsidP="0068194E">
            <w:pPr>
              <w:contextualSpacing/>
              <w:jc w:val="both"/>
              <w:rPr>
                <w:rFonts w:eastAsia="Calibri"/>
                <w:bCs/>
                <w:color w:val="000000"/>
                <w:sz w:val="16"/>
                <w:szCs w:val="16"/>
                <w:lang w:val="tr-TR"/>
              </w:rPr>
            </w:pPr>
            <w:r w:rsidRPr="0068194E">
              <w:rPr>
                <w:rFonts w:eastAsia="Calibri"/>
                <w:bCs/>
                <w:color w:val="000000"/>
                <w:sz w:val="16"/>
                <w:szCs w:val="16"/>
                <w:lang w:val="tr-TR"/>
              </w:rPr>
              <w:t>.356</w:t>
            </w:r>
          </w:p>
        </w:tc>
      </w:tr>
      <w:tr w:rsidR="0068194E" w:rsidRPr="0068194E" w14:paraId="7C815481" w14:textId="77777777" w:rsidTr="00B447BC">
        <w:trPr>
          <w:trHeight w:val="81"/>
          <w:jc w:val="center"/>
        </w:trPr>
        <w:tc>
          <w:tcPr>
            <w:tcW w:w="1701" w:type="dxa"/>
            <w:vAlign w:val="center"/>
          </w:tcPr>
          <w:p w14:paraId="776FABA3" w14:textId="77777777" w:rsidR="0068194E" w:rsidRPr="0068194E" w:rsidRDefault="0068194E" w:rsidP="0068194E">
            <w:pPr>
              <w:ind w:left="-89"/>
              <w:jc w:val="both"/>
              <w:rPr>
                <w:color w:val="000000"/>
                <w:sz w:val="16"/>
                <w:szCs w:val="16"/>
                <w:lang w:val="en-GB" w:eastAsia="en-GB"/>
              </w:rPr>
            </w:pPr>
            <w:r w:rsidRPr="0068194E">
              <w:rPr>
                <w:sz w:val="16"/>
                <w:szCs w:val="16"/>
                <w:lang w:val="en-GB" w:eastAsia="en-GB"/>
              </w:rPr>
              <w:t>Student Behaviour</w:t>
            </w:r>
          </w:p>
        </w:tc>
        <w:tc>
          <w:tcPr>
            <w:tcW w:w="709" w:type="dxa"/>
            <w:vAlign w:val="center"/>
          </w:tcPr>
          <w:p w14:paraId="12187857" w14:textId="77777777" w:rsidR="0068194E" w:rsidRPr="0068194E" w:rsidRDefault="0068194E" w:rsidP="0068194E">
            <w:pPr>
              <w:contextualSpacing/>
              <w:jc w:val="center"/>
              <w:rPr>
                <w:rFonts w:eastAsia="Calibri"/>
                <w:color w:val="000000"/>
                <w:sz w:val="16"/>
                <w:szCs w:val="16"/>
                <w:lang w:val="tr-TR"/>
              </w:rPr>
            </w:pPr>
            <w:r w:rsidRPr="0068194E">
              <w:rPr>
                <w:rFonts w:eastAsia="Calibri"/>
                <w:color w:val="000000"/>
                <w:sz w:val="16"/>
                <w:szCs w:val="16"/>
                <w:lang w:val="tr-TR"/>
              </w:rPr>
              <w:t>25.336</w:t>
            </w:r>
          </w:p>
        </w:tc>
        <w:tc>
          <w:tcPr>
            <w:tcW w:w="709" w:type="dxa"/>
            <w:vAlign w:val="center"/>
          </w:tcPr>
          <w:p w14:paraId="4FCD5947" w14:textId="77777777" w:rsidR="0068194E" w:rsidRPr="0068194E" w:rsidRDefault="0068194E" w:rsidP="0068194E">
            <w:pPr>
              <w:contextualSpacing/>
              <w:jc w:val="center"/>
              <w:rPr>
                <w:rFonts w:eastAsia="Calibri"/>
                <w:color w:val="000000"/>
                <w:sz w:val="16"/>
                <w:szCs w:val="16"/>
                <w:lang w:val="tr-TR"/>
              </w:rPr>
            </w:pPr>
            <w:r w:rsidRPr="0068194E">
              <w:rPr>
                <w:rFonts w:eastAsia="Calibri"/>
                <w:color w:val="000000"/>
                <w:sz w:val="16"/>
                <w:szCs w:val="16"/>
                <w:lang w:val="tr-TR"/>
              </w:rPr>
              <w:t>2.845</w:t>
            </w:r>
          </w:p>
        </w:tc>
        <w:tc>
          <w:tcPr>
            <w:tcW w:w="709" w:type="dxa"/>
            <w:vAlign w:val="center"/>
          </w:tcPr>
          <w:p w14:paraId="13E6D110" w14:textId="77777777" w:rsidR="0068194E" w:rsidRPr="0068194E" w:rsidRDefault="0068194E" w:rsidP="0068194E">
            <w:pPr>
              <w:contextualSpacing/>
              <w:jc w:val="center"/>
              <w:rPr>
                <w:rFonts w:eastAsia="Calibri"/>
                <w:color w:val="000000"/>
                <w:sz w:val="16"/>
                <w:szCs w:val="16"/>
                <w:lang w:val="tr-TR"/>
              </w:rPr>
            </w:pPr>
            <w:r w:rsidRPr="0068194E">
              <w:rPr>
                <w:rFonts w:eastAsia="Calibri"/>
                <w:color w:val="000000"/>
                <w:sz w:val="16"/>
                <w:szCs w:val="16"/>
                <w:lang w:val="tr-TR"/>
              </w:rPr>
              <w:t>25.527</w:t>
            </w:r>
          </w:p>
        </w:tc>
        <w:tc>
          <w:tcPr>
            <w:tcW w:w="708" w:type="dxa"/>
            <w:vAlign w:val="center"/>
          </w:tcPr>
          <w:p w14:paraId="18EF053E" w14:textId="77777777" w:rsidR="0068194E" w:rsidRPr="0068194E" w:rsidRDefault="0068194E" w:rsidP="0068194E">
            <w:pPr>
              <w:contextualSpacing/>
              <w:jc w:val="center"/>
              <w:rPr>
                <w:rFonts w:eastAsia="Calibri"/>
                <w:color w:val="000000"/>
                <w:sz w:val="16"/>
                <w:szCs w:val="16"/>
                <w:lang w:val="tr-TR"/>
              </w:rPr>
            </w:pPr>
            <w:r w:rsidRPr="0068194E">
              <w:rPr>
                <w:rFonts w:eastAsia="Calibri"/>
                <w:color w:val="000000"/>
                <w:sz w:val="16"/>
                <w:szCs w:val="16"/>
                <w:lang w:val="tr-TR"/>
              </w:rPr>
              <w:t>2.391</w:t>
            </w:r>
          </w:p>
        </w:tc>
        <w:tc>
          <w:tcPr>
            <w:tcW w:w="851" w:type="dxa"/>
            <w:vAlign w:val="center"/>
          </w:tcPr>
          <w:p w14:paraId="24A8D85E" w14:textId="77777777" w:rsidR="0068194E" w:rsidRPr="0068194E" w:rsidRDefault="0068194E" w:rsidP="0068194E">
            <w:pPr>
              <w:contextualSpacing/>
              <w:jc w:val="both"/>
              <w:rPr>
                <w:rFonts w:eastAsia="Calibri"/>
                <w:color w:val="000000"/>
                <w:sz w:val="16"/>
                <w:szCs w:val="16"/>
                <w:lang w:val="tr-TR"/>
              </w:rPr>
            </w:pPr>
            <w:r w:rsidRPr="0068194E">
              <w:rPr>
                <w:rFonts w:eastAsia="Calibri"/>
                <w:color w:val="000000"/>
                <w:sz w:val="16"/>
                <w:szCs w:val="16"/>
                <w:lang w:val="tr-TR"/>
              </w:rPr>
              <w:t>.686</w:t>
            </w:r>
          </w:p>
        </w:tc>
      </w:tr>
      <w:tr w:rsidR="0068194E" w:rsidRPr="0068194E" w14:paraId="5805ADF7" w14:textId="77777777" w:rsidTr="00B447BC">
        <w:trPr>
          <w:trHeight w:val="63"/>
          <w:jc w:val="center"/>
        </w:trPr>
        <w:tc>
          <w:tcPr>
            <w:tcW w:w="1701" w:type="dxa"/>
            <w:vAlign w:val="center"/>
          </w:tcPr>
          <w:p w14:paraId="0893C836" w14:textId="77777777" w:rsidR="0068194E" w:rsidRPr="0068194E" w:rsidRDefault="0068194E" w:rsidP="0068194E">
            <w:pPr>
              <w:ind w:left="-89"/>
              <w:jc w:val="both"/>
              <w:rPr>
                <w:color w:val="000000"/>
                <w:sz w:val="16"/>
                <w:szCs w:val="16"/>
                <w:lang w:val="en-GB" w:eastAsia="en-GB"/>
              </w:rPr>
            </w:pPr>
            <w:r w:rsidRPr="0068194E">
              <w:rPr>
                <w:sz w:val="16"/>
                <w:szCs w:val="16"/>
                <w:lang w:val="en-GB" w:eastAsia="en-GB"/>
              </w:rPr>
              <w:t>Peer Attitude</w:t>
            </w:r>
          </w:p>
        </w:tc>
        <w:tc>
          <w:tcPr>
            <w:tcW w:w="709" w:type="dxa"/>
            <w:vAlign w:val="center"/>
          </w:tcPr>
          <w:p w14:paraId="28747019" w14:textId="77777777" w:rsidR="0068194E" w:rsidRPr="0068194E" w:rsidRDefault="0068194E" w:rsidP="0068194E">
            <w:pPr>
              <w:contextualSpacing/>
              <w:jc w:val="center"/>
              <w:rPr>
                <w:rFonts w:eastAsia="Calibri"/>
                <w:color w:val="000000"/>
                <w:sz w:val="16"/>
                <w:szCs w:val="16"/>
                <w:lang w:val="tr-TR"/>
              </w:rPr>
            </w:pPr>
            <w:r w:rsidRPr="0068194E">
              <w:rPr>
                <w:rFonts w:eastAsia="Calibri"/>
                <w:color w:val="000000"/>
                <w:sz w:val="16"/>
                <w:szCs w:val="16"/>
                <w:lang w:val="tr-TR"/>
              </w:rPr>
              <w:t>19.245</w:t>
            </w:r>
          </w:p>
        </w:tc>
        <w:tc>
          <w:tcPr>
            <w:tcW w:w="709" w:type="dxa"/>
            <w:vAlign w:val="center"/>
          </w:tcPr>
          <w:p w14:paraId="15FD3691" w14:textId="77777777" w:rsidR="0068194E" w:rsidRPr="0068194E" w:rsidRDefault="0068194E" w:rsidP="0068194E">
            <w:pPr>
              <w:contextualSpacing/>
              <w:jc w:val="center"/>
              <w:rPr>
                <w:rFonts w:eastAsia="Calibri"/>
                <w:color w:val="000000"/>
                <w:sz w:val="16"/>
                <w:szCs w:val="16"/>
                <w:lang w:val="tr-TR"/>
              </w:rPr>
            </w:pPr>
            <w:r w:rsidRPr="0068194E">
              <w:rPr>
                <w:rFonts w:eastAsia="Calibri"/>
                <w:color w:val="000000"/>
                <w:sz w:val="16"/>
                <w:szCs w:val="16"/>
                <w:lang w:val="tr-TR"/>
              </w:rPr>
              <w:t>2.151</w:t>
            </w:r>
          </w:p>
        </w:tc>
        <w:tc>
          <w:tcPr>
            <w:tcW w:w="709" w:type="dxa"/>
            <w:vAlign w:val="center"/>
          </w:tcPr>
          <w:p w14:paraId="2E231718" w14:textId="77777777" w:rsidR="0068194E" w:rsidRPr="0068194E" w:rsidRDefault="0068194E" w:rsidP="0068194E">
            <w:pPr>
              <w:contextualSpacing/>
              <w:jc w:val="center"/>
              <w:rPr>
                <w:rFonts w:eastAsia="Calibri"/>
                <w:color w:val="000000"/>
                <w:sz w:val="16"/>
                <w:szCs w:val="16"/>
                <w:lang w:val="tr-TR"/>
              </w:rPr>
            </w:pPr>
            <w:r w:rsidRPr="0068194E">
              <w:rPr>
                <w:rFonts w:eastAsia="Calibri"/>
                <w:color w:val="000000"/>
                <w:sz w:val="16"/>
                <w:szCs w:val="16"/>
                <w:lang w:val="tr-TR"/>
              </w:rPr>
              <w:t>18.536</w:t>
            </w:r>
          </w:p>
        </w:tc>
        <w:tc>
          <w:tcPr>
            <w:tcW w:w="708" w:type="dxa"/>
            <w:vAlign w:val="center"/>
          </w:tcPr>
          <w:p w14:paraId="1339B2F6" w14:textId="77777777" w:rsidR="0068194E" w:rsidRPr="0068194E" w:rsidRDefault="0068194E" w:rsidP="0068194E">
            <w:pPr>
              <w:contextualSpacing/>
              <w:jc w:val="center"/>
              <w:rPr>
                <w:rFonts w:eastAsia="Calibri"/>
                <w:color w:val="000000"/>
                <w:sz w:val="16"/>
                <w:szCs w:val="16"/>
                <w:lang w:val="tr-TR"/>
              </w:rPr>
            </w:pPr>
            <w:r w:rsidRPr="0068194E">
              <w:rPr>
                <w:rFonts w:eastAsia="Calibri"/>
                <w:color w:val="000000"/>
                <w:sz w:val="16"/>
                <w:szCs w:val="16"/>
                <w:lang w:val="tr-TR"/>
              </w:rPr>
              <w:t>2.437</w:t>
            </w:r>
          </w:p>
        </w:tc>
        <w:tc>
          <w:tcPr>
            <w:tcW w:w="851" w:type="dxa"/>
            <w:vAlign w:val="center"/>
          </w:tcPr>
          <w:p w14:paraId="27934689" w14:textId="77777777" w:rsidR="0068194E" w:rsidRPr="0068194E" w:rsidRDefault="0068194E" w:rsidP="0068194E">
            <w:pPr>
              <w:contextualSpacing/>
              <w:jc w:val="both"/>
              <w:rPr>
                <w:rFonts w:eastAsia="Calibri"/>
                <w:color w:val="000000"/>
                <w:sz w:val="16"/>
                <w:szCs w:val="16"/>
                <w:lang w:val="tr-TR"/>
              </w:rPr>
            </w:pPr>
            <w:r w:rsidRPr="0068194E">
              <w:rPr>
                <w:rFonts w:eastAsia="Calibri"/>
                <w:color w:val="000000"/>
                <w:sz w:val="16"/>
                <w:szCs w:val="16"/>
                <w:lang w:val="tr-TR"/>
              </w:rPr>
              <w:t>.008*</w:t>
            </w:r>
          </w:p>
        </w:tc>
      </w:tr>
      <w:tr w:rsidR="0068194E" w:rsidRPr="0068194E" w14:paraId="00FD0EBC" w14:textId="77777777" w:rsidTr="00B447BC">
        <w:trPr>
          <w:trHeight w:val="63"/>
          <w:jc w:val="center"/>
        </w:trPr>
        <w:tc>
          <w:tcPr>
            <w:tcW w:w="1701" w:type="dxa"/>
            <w:tcBorders>
              <w:bottom w:val="single" w:sz="4" w:space="0" w:color="auto"/>
            </w:tcBorders>
            <w:vAlign w:val="center"/>
          </w:tcPr>
          <w:p w14:paraId="6CEFBF69" w14:textId="77777777" w:rsidR="0068194E" w:rsidRPr="0068194E" w:rsidRDefault="0068194E" w:rsidP="0068194E">
            <w:pPr>
              <w:ind w:left="-89"/>
              <w:contextualSpacing/>
              <w:rPr>
                <w:rFonts w:eastAsia="Calibri"/>
                <w:color w:val="000000"/>
                <w:sz w:val="16"/>
                <w:szCs w:val="16"/>
                <w:lang w:val="tr-TR"/>
              </w:rPr>
            </w:pPr>
            <w:r w:rsidRPr="0068194E">
              <w:rPr>
                <w:rFonts w:eastAsia="Calibri"/>
                <w:sz w:val="16"/>
                <w:szCs w:val="16"/>
                <w:lang w:val="en-GB"/>
              </w:rPr>
              <w:t>Social Acceptance Scale</w:t>
            </w:r>
          </w:p>
        </w:tc>
        <w:tc>
          <w:tcPr>
            <w:tcW w:w="709" w:type="dxa"/>
            <w:tcBorders>
              <w:bottom w:val="single" w:sz="4" w:space="0" w:color="auto"/>
            </w:tcBorders>
            <w:vAlign w:val="center"/>
          </w:tcPr>
          <w:p w14:paraId="448F0173" w14:textId="77777777" w:rsidR="0068194E" w:rsidRPr="0068194E" w:rsidRDefault="0068194E" w:rsidP="0068194E">
            <w:pPr>
              <w:contextualSpacing/>
              <w:jc w:val="center"/>
              <w:rPr>
                <w:rFonts w:eastAsia="Calibri"/>
                <w:color w:val="000000"/>
                <w:sz w:val="16"/>
                <w:szCs w:val="16"/>
                <w:lang w:val="tr-TR"/>
              </w:rPr>
            </w:pPr>
            <w:r w:rsidRPr="0068194E">
              <w:rPr>
                <w:rFonts w:eastAsia="Calibri"/>
                <w:color w:val="000000"/>
                <w:sz w:val="16"/>
                <w:szCs w:val="16"/>
                <w:lang w:val="tr-TR"/>
              </w:rPr>
              <w:t>83.818</w:t>
            </w:r>
          </w:p>
        </w:tc>
        <w:tc>
          <w:tcPr>
            <w:tcW w:w="709" w:type="dxa"/>
            <w:tcBorders>
              <w:bottom w:val="single" w:sz="4" w:space="0" w:color="auto"/>
            </w:tcBorders>
            <w:vAlign w:val="center"/>
          </w:tcPr>
          <w:p w14:paraId="3D377E9B" w14:textId="77777777" w:rsidR="0068194E" w:rsidRPr="0068194E" w:rsidRDefault="0068194E" w:rsidP="0068194E">
            <w:pPr>
              <w:contextualSpacing/>
              <w:jc w:val="center"/>
              <w:rPr>
                <w:rFonts w:eastAsia="Calibri"/>
                <w:color w:val="000000"/>
                <w:sz w:val="16"/>
                <w:szCs w:val="16"/>
                <w:lang w:val="tr-TR"/>
              </w:rPr>
            </w:pPr>
            <w:r w:rsidRPr="0068194E">
              <w:rPr>
                <w:rFonts w:eastAsia="Calibri"/>
                <w:color w:val="000000"/>
                <w:sz w:val="16"/>
                <w:szCs w:val="16"/>
                <w:lang w:val="tr-TR"/>
              </w:rPr>
              <w:t>11.265</w:t>
            </w:r>
          </w:p>
        </w:tc>
        <w:tc>
          <w:tcPr>
            <w:tcW w:w="709" w:type="dxa"/>
            <w:tcBorders>
              <w:bottom w:val="single" w:sz="4" w:space="0" w:color="auto"/>
            </w:tcBorders>
            <w:vAlign w:val="center"/>
          </w:tcPr>
          <w:p w14:paraId="1500D462" w14:textId="77777777" w:rsidR="0068194E" w:rsidRPr="0068194E" w:rsidRDefault="0068194E" w:rsidP="0068194E">
            <w:pPr>
              <w:contextualSpacing/>
              <w:jc w:val="center"/>
              <w:rPr>
                <w:rFonts w:eastAsia="Calibri"/>
                <w:color w:val="000000"/>
                <w:sz w:val="16"/>
                <w:szCs w:val="16"/>
                <w:lang w:val="tr-TR"/>
              </w:rPr>
            </w:pPr>
            <w:r w:rsidRPr="0068194E">
              <w:rPr>
                <w:rFonts w:eastAsia="Calibri"/>
                <w:color w:val="000000"/>
                <w:sz w:val="16"/>
                <w:szCs w:val="16"/>
                <w:lang w:val="tr-TR"/>
              </w:rPr>
              <w:t>82.245</w:t>
            </w:r>
          </w:p>
        </w:tc>
        <w:tc>
          <w:tcPr>
            <w:tcW w:w="708" w:type="dxa"/>
            <w:tcBorders>
              <w:bottom w:val="single" w:sz="4" w:space="0" w:color="auto"/>
            </w:tcBorders>
            <w:vAlign w:val="center"/>
          </w:tcPr>
          <w:p w14:paraId="5BE05F6F" w14:textId="77777777" w:rsidR="0068194E" w:rsidRPr="0068194E" w:rsidRDefault="0068194E" w:rsidP="0068194E">
            <w:pPr>
              <w:contextualSpacing/>
              <w:jc w:val="center"/>
              <w:rPr>
                <w:rFonts w:eastAsia="Calibri"/>
                <w:color w:val="000000"/>
                <w:sz w:val="16"/>
                <w:szCs w:val="16"/>
                <w:lang w:val="tr-TR"/>
              </w:rPr>
            </w:pPr>
            <w:r w:rsidRPr="0068194E">
              <w:rPr>
                <w:rFonts w:eastAsia="Calibri"/>
                <w:color w:val="000000"/>
                <w:sz w:val="16"/>
                <w:szCs w:val="16"/>
                <w:lang w:val="tr-TR"/>
              </w:rPr>
              <w:t>11.167</w:t>
            </w:r>
          </w:p>
        </w:tc>
        <w:tc>
          <w:tcPr>
            <w:tcW w:w="851" w:type="dxa"/>
            <w:tcBorders>
              <w:bottom w:val="single" w:sz="4" w:space="0" w:color="auto"/>
            </w:tcBorders>
            <w:vAlign w:val="center"/>
          </w:tcPr>
          <w:p w14:paraId="49BA0921" w14:textId="77777777" w:rsidR="0068194E" w:rsidRPr="0068194E" w:rsidRDefault="0068194E" w:rsidP="0068194E">
            <w:pPr>
              <w:contextualSpacing/>
              <w:jc w:val="both"/>
              <w:rPr>
                <w:rFonts w:eastAsia="Calibri"/>
                <w:color w:val="000000"/>
                <w:sz w:val="16"/>
                <w:szCs w:val="16"/>
                <w:lang w:val="tr-TR"/>
              </w:rPr>
            </w:pPr>
            <w:r w:rsidRPr="0068194E">
              <w:rPr>
                <w:rFonts w:eastAsia="Calibri"/>
                <w:color w:val="000000"/>
                <w:sz w:val="16"/>
                <w:szCs w:val="16"/>
                <w:lang w:val="tr-TR"/>
              </w:rPr>
              <w:t xml:space="preserve">.225 </w:t>
            </w:r>
          </w:p>
        </w:tc>
      </w:tr>
    </w:tbl>
    <w:p w14:paraId="072AEA50" w14:textId="77777777" w:rsidR="0068194E" w:rsidRPr="0068194E" w:rsidRDefault="0068194E" w:rsidP="0068194E">
      <w:pPr>
        <w:tabs>
          <w:tab w:val="left" w:pos="2244"/>
        </w:tabs>
        <w:jc w:val="both"/>
        <w:rPr>
          <w:color w:val="000000"/>
          <w:sz w:val="16"/>
          <w:szCs w:val="16"/>
          <w:lang w:val="en-GB" w:eastAsia="en-GB"/>
        </w:rPr>
      </w:pPr>
      <w:r w:rsidRPr="0068194E">
        <w:rPr>
          <w:color w:val="000000"/>
          <w:lang w:val="en-GB" w:eastAsia="en-GB"/>
        </w:rPr>
        <w:t xml:space="preserve">                                  </w:t>
      </w:r>
      <w:r w:rsidRPr="0068194E">
        <w:rPr>
          <w:color w:val="000000"/>
          <w:sz w:val="16"/>
          <w:szCs w:val="16"/>
          <w:lang w:val="en-GB" w:eastAsia="en-GB"/>
        </w:rPr>
        <w:t>*p&lt;.05</w:t>
      </w:r>
    </w:p>
    <w:p w14:paraId="76EA6403" w14:textId="77777777" w:rsidR="004160C7" w:rsidRDefault="004160C7" w:rsidP="00904D6D">
      <w:pPr>
        <w:rPr>
          <w:b/>
          <w:bCs/>
          <w:lang w:val="id-ID"/>
        </w:rPr>
      </w:pPr>
    </w:p>
    <w:p w14:paraId="3E2CEEA2" w14:textId="77777777" w:rsidR="00293BE0" w:rsidRPr="00293BE0" w:rsidRDefault="00293BE0" w:rsidP="00293BE0">
      <w:pPr>
        <w:ind w:firstLine="720"/>
        <w:jc w:val="both"/>
        <w:rPr>
          <w:lang w:val="en-GB" w:eastAsia="en-GB"/>
        </w:rPr>
      </w:pPr>
      <w:r w:rsidRPr="00293BE0">
        <w:rPr>
          <w:lang w:val="en-GB" w:eastAsia="en-GB"/>
        </w:rPr>
        <w:t>According to Table 2, a significant difference was found according to the "Peer Attitude" subscale of the social acceptance scale subscales of the 6</w:t>
      </w:r>
      <w:r w:rsidRPr="00293BE0">
        <w:rPr>
          <w:vertAlign w:val="superscript"/>
          <w:lang w:val="en-GB" w:eastAsia="en-GB"/>
        </w:rPr>
        <w:t>th</w:t>
      </w:r>
      <w:r w:rsidRPr="00293BE0">
        <w:rPr>
          <w:lang w:val="en-GB" w:eastAsia="en-GB"/>
        </w:rPr>
        <w:t xml:space="preserve"> grade and 7</w:t>
      </w:r>
      <w:r w:rsidRPr="00293BE0">
        <w:rPr>
          <w:vertAlign w:val="superscript"/>
          <w:lang w:val="en-GB" w:eastAsia="en-GB"/>
        </w:rPr>
        <w:t>th</w:t>
      </w:r>
      <w:r w:rsidRPr="00293BE0">
        <w:rPr>
          <w:lang w:val="en-GB" w:eastAsia="en-GB"/>
        </w:rPr>
        <w:t xml:space="preserve"> grade participants with normal development. Accordingly, 6</w:t>
      </w:r>
      <w:r w:rsidRPr="00293BE0">
        <w:rPr>
          <w:vertAlign w:val="superscript"/>
          <w:lang w:val="en-GB" w:eastAsia="en-GB"/>
        </w:rPr>
        <w:t>th</w:t>
      </w:r>
      <w:r w:rsidRPr="00293BE0">
        <w:rPr>
          <w:lang w:val="en-GB" w:eastAsia="en-GB"/>
        </w:rPr>
        <w:t xml:space="preserve"> grade students' average of “peer attitude” towards disable students is higher than 7</w:t>
      </w:r>
      <w:r w:rsidRPr="00293BE0">
        <w:rPr>
          <w:vertAlign w:val="superscript"/>
          <w:lang w:val="en-GB" w:eastAsia="en-GB"/>
        </w:rPr>
        <w:t>th</w:t>
      </w:r>
      <w:r w:rsidRPr="00293BE0">
        <w:rPr>
          <w:lang w:val="en-GB" w:eastAsia="en-GB"/>
        </w:rPr>
        <w:t xml:space="preserve"> grade students. </w:t>
      </w:r>
    </w:p>
    <w:p w14:paraId="5CCB84EE" w14:textId="77777777" w:rsidR="00293BE0" w:rsidRPr="00293BE0" w:rsidRDefault="00293BE0" w:rsidP="00293BE0">
      <w:pPr>
        <w:jc w:val="both"/>
        <w:rPr>
          <w:lang w:val="en-GB" w:eastAsia="en-GB"/>
        </w:rPr>
      </w:pPr>
    </w:p>
    <w:p w14:paraId="06B794A0" w14:textId="77777777" w:rsidR="00293BE0" w:rsidRPr="00293BE0" w:rsidRDefault="00293BE0" w:rsidP="00293BE0">
      <w:pPr>
        <w:jc w:val="center"/>
        <w:rPr>
          <w:lang w:val="en-GB" w:eastAsia="en-GB"/>
        </w:rPr>
      </w:pPr>
      <w:r w:rsidRPr="00293BE0">
        <w:rPr>
          <w:bCs/>
          <w:lang w:val="en-GB" w:eastAsia="en-GB"/>
        </w:rPr>
        <w:t xml:space="preserve">Table 3. </w:t>
      </w:r>
      <w:r w:rsidRPr="00293BE0">
        <w:rPr>
          <w:lang w:val="en-GB" w:eastAsia="en-GB"/>
        </w:rPr>
        <w:t>Social acceptance scale and social acceptance subscales score average analysis according to the income level of the participants' family</w:t>
      </w:r>
    </w:p>
    <w:tbl>
      <w:tblPr>
        <w:tblW w:w="6941" w:type="dxa"/>
        <w:jc w:val="center"/>
        <w:tblLayout w:type="fixed"/>
        <w:tblLook w:val="04A0" w:firstRow="1" w:lastRow="0" w:firstColumn="1" w:lastColumn="0" w:noHBand="0" w:noVBand="1"/>
      </w:tblPr>
      <w:tblGrid>
        <w:gridCol w:w="1838"/>
        <w:gridCol w:w="709"/>
        <w:gridCol w:w="709"/>
        <w:gridCol w:w="708"/>
        <w:gridCol w:w="709"/>
        <w:gridCol w:w="709"/>
        <w:gridCol w:w="709"/>
        <w:gridCol w:w="850"/>
      </w:tblGrid>
      <w:tr w:rsidR="00293BE0" w:rsidRPr="00293BE0" w14:paraId="1F22820B" w14:textId="77777777" w:rsidTr="00CD16A2">
        <w:trPr>
          <w:trHeight w:val="78"/>
          <w:jc w:val="center"/>
        </w:trPr>
        <w:tc>
          <w:tcPr>
            <w:tcW w:w="1838" w:type="dxa"/>
            <w:vMerge w:val="restart"/>
            <w:tcBorders>
              <w:top w:val="single" w:sz="4" w:space="0" w:color="auto"/>
              <w:bottom w:val="single" w:sz="4" w:space="0" w:color="auto"/>
            </w:tcBorders>
          </w:tcPr>
          <w:p w14:paraId="4BCD82C2" w14:textId="77777777" w:rsidR="00293BE0" w:rsidRPr="00293BE0" w:rsidRDefault="00293BE0" w:rsidP="00293BE0">
            <w:pPr>
              <w:contextualSpacing/>
              <w:jc w:val="both"/>
              <w:rPr>
                <w:rFonts w:eastAsia="Calibri"/>
                <w:color w:val="000000"/>
                <w:sz w:val="16"/>
                <w:szCs w:val="16"/>
                <w:lang w:val="tr-TR"/>
              </w:rPr>
            </w:pPr>
            <w:r w:rsidRPr="00293BE0">
              <w:rPr>
                <w:rFonts w:eastAsia="Calibri"/>
                <w:color w:val="000000"/>
                <w:sz w:val="16"/>
                <w:szCs w:val="16"/>
                <w:lang w:val="tr-TR" w:bidi="th-TH"/>
              </w:rPr>
              <w:t>Dependent Variables</w:t>
            </w:r>
          </w:p>
        </w:tc>
        <w:tc>
          <w:tcPr>
            <w:tcW w:w="4253" w:type="dxa"/>
            <w:gridSpan w:val="6"/>
            <w:tcBorders>
              <w:top w:val="single" w:sz="4" w:space="0" w:color="auto"/>
            </w:tcBorders>
            <w:vAlign w:val="center"/>
          </w:tcPr>
          <w:p w14:paraId="261E3501" w14:textId="77777777" w:rsidR="00293BE0" w:rsidRPr="00293BE0" w:rsidRDefault="00293BE0" w:rsidP="00293BE0">
            <w:pPr>
              <w:contextualSpacing/>
              <w:jc w:val="center"/>
              <w:rPr>
                <w:rFonts w:eastAsia="Calibri"/>
                <w:sz w:val="16"/>
                <w:szCs w:val="16"/>
                <w:lang w:val="tr-TR"/>
              </w:rPr>
            </w:pPr>
            <w:r w:rsidRPr="00293BE0">
              <w:rPr>
                <w:rFonts w:eastAsia="Calibri"/>
                <w:sz w:val="16"/>
                <w:szCs w:val="16"/>
                <w:lang w:val="en-GB"/>
              </w:rPr>
              <w:t>Level of the Participants' Family</w:t>
            </w:r>
          </w:p>
        </w:tc>
        <w:tc>
          <w:tcPr>
            <w:tcW w:w="850" w:type="dxa"/>
            <w:vMerge w:val="restart"/>
            <w:tcBorders>
              <w:top w:val="single" w:sz="4" w:space="0" w:color="auto"/>
              <w:bottom w:val="single" w:sz="4" w:space="0" w:color="auto"/>
            </w:tcBorders>
            <w:vAlign w:val="center"/>
          </w:tcPr>
          <w:p w14:paraId="6FE429BF" w14:textId="77777777" w:rsidR="00293BE0" w:rsidRPr="00293BE0" w:rsidRDefault="00293BE0" w:rsidP="00293BE0">
            <w:pPr>
              <w:contextualSpacing/>
              <w:jc w:val="center"/>
              <w:rPr>
                <w:rFonts w:eastAsia="Calibri"/>
                <w:color w:val="000000"/>
                <w:sz w:val="16"/>
                <w:szCs w:val="16"/>
                <w:lang w:val="tr-TR"/>
              </w:rPr>
            </w:pPr>
            <w:r w:rsidRPr="00293BE0">
              <w:rPr>
                <w:rFonts w:eastAsia="Calibri"/>
                <w:color w:val="000000"/>
                <w:sz w:val="16"/>
                <w:szCs w:val="16"/>
                <w:lang w:val="tr-TR"/>
              </w:rPr>
              <w:t>P-Value (Sig.)</w:t>
            </w:r>
          </w:p>
        </w:tc>
      </w:tr>
      <w:tr w:rsidR="00293BE0" w:rsidRPr="00293BE0" w14:paraId="564AD289" w14:textId="77777777" w:rsidTr="00CD16A2">
        <w:trPr>
          <w:trHeight w:val="53"/>
          <w:jc w:val="center"/>
        </w:trPr>
        <w:tc>
          <w:tcPr>
            <w:tcW w:w="1838" w:type="dxa"/>
            <w:vMerge/>
            <w:tcBorders>
              <w:bottom w:val="single" w:sz="4" w:space="0" w:color="auto"/>
            </w:tcBorders>
          </w:tcPr>
          <w:p w14:paraId="09E3AB01" w14:textId="77777777" w:rsidR="00293BE0" w:rsidRPr="00293BE0" w:rsidRDefault="00293BE0" w:rsidP="00293BE0">
            <w:pPr>
              <w:contextualSpacing/>
              <w:jc w:val="both"/>
              <w:rPr>
                <w:rFonts w:eastAsia="Calibri"/>
                <w:color w:val="000000"/>
                <w:sz w:val="16"/>
                <w:szCs w:val="16"/>
                <w:lang w:val="tr-TR"/>
              </w:rPr>
            </w:pPr>
          </w:p>
        </w:tc>
        <w:tc>
          <w:tcPr>
            <w:tcW w:w="1418" w:type="dxa"/>
            <w:gridSpan w:val="2"/>
            <w:vAlign w:val="center"/>
          </w:tcPr>
          <w:p w14:paraId="7E23F204" w14:textId="77777777" w:rsidR="00293BE0" w:rsidRPr="00293BE0" w:rsidRDefault="00293BE0" w:rsidP="00293BE0">
            <w:pPr>
              <w:contextualSpacing/>
              <w:jc w:val="center"/>
              <w:rPr>
                <w:rFonts w:eastAsia="Calibri"/>
                <w:color w:val="000000"/>
                <w:sz w:val="16"/>
                <w:szCs w:val="16"/>
                <w:lang w:val="tr-TR"/>
              </w:rPr>
            </w:pPr>
            <w:r w:rsidRPr="00293BE0">
              <w:rPr>
                <w:rFonts w:eastAsia="Calibri"/>
                <w:color w:val="000000"/>
                <w:sz w:val="16"/>
                <w:szCs w:val="16"/>
                <w:lang w:val="tr-TR"/>
              </w:rPr>
              <w:t>0-3000 tl</w:t>
            </w:r>
          </w:p>
        </w:tc>
        <w:tc>
          <w:tcPr>
            <w:tcW w:w="1417" w:type="dxa"/>
            <w:gridSpan w:val="2"/>
            <w:vAlign w:val="center"/>
          </w:tcPr>
          <w:p w14:paraId="44088D8C" w14:textId="77777777" w:rsidR="00293BE0" w:rsidRPr="00293BE0" w:rsidRDefault="00293BE0" w:rsidP="00293BE0">
            <w:pPr>
              <w:contextualSpacing/>
              <w:jc w:val="center"/>
              <w:rPr>
                <w:rFonts w:eastAsia="Calibri"/>
                <w:color w:val="000000"/>
                <w:sz w:val="16"/>
                <w:szCs w:val="16"/>
                <w:lang w:val="tr-TR"/>
              </w:rPr>
            </w:pPr>
            <w:r w:rsidRPr="00293BE0">
              <w:rPr>
                <w:rFonts w:eastAsia="Calibri"/>
                <w:color w:val="000000"/>
                <w:sz w:val="16"/>
                <w:szCs w:val="16"/>
                <w:lang w:val="tr-TR"/>
              </w:rPr>
              <w:t>3000t1-4000 tl</w:t>
            </w:r>
          </w:p>
        </w:tc>
        <w:tc>
          <w:tcPr>
            <w:tcW w:w="1418" w:type="dxa"/>
            <w:gridSpan w:val="2"/>
            <w:vAlign w:val="center"/>
          </w:tcPr>
          <w:p w14:paraId="172B04B6" w14:textId="77777777" w:rsidR="00293BE0" w:rsidRPr="00293BE0" w:rsidRDefault="00293BE0" w:rsidP="00293BE0">
            <w:pPr>
              <w:contextualSpacing/>
              <w:jc w:val="center"/>
              <w:rPr>
                <w:rFonts w:eastAsia="Calibri"/>
                <w:color w:val="000000"/>
                <w:sz w:val="16"/>
                <w:szCs w:val="16"/>
                <w:lang w:val="tr-TR"/>
              </w:rPr>
            </w:pPr>
            <w:r w:rsidRPr="00293BE0">
              <w:rPr>
                <w:rFonts w:eastAsia="Calibri"/>
                <w:color w:val="000000"/>
                <w:sz w:val="16"/>
                <w:szCs w:val="16"/>
                <w:lang w:val="tr-TR"/>
              </w:rPr>
              <w:t>4000t1 and Above</w:t>
            </w:r>
          </w:p>
        </w:tc>
        <w:tc>
          <w:tcPr>
            <w:tcW w:w="850" w:type="dxa"/>
            <w:vMerge/>
            <w:tcBorders>
              <w:bottom w:val="single" w:sz="4" w:space="0" w:color="auto"/>
            </w:tcBorders>
            <w:vAlign w:val="center"/>
          </w:tcPr>
          <w:p w14:paraId="68606D37" w14:textId="77777777" w:rsidR="00293BE0" w:rsidRPr="00293BE0" w:rsidRDefault="00293BE0" w:rsidP="00293BE0">
            <w:pPr>
              <w:contextualSpacing/>
              <w:jc w:val="both"/>
              <w:rPr>
                <w:rFonts w:eastAsia="Calibri"/>
                <w:color w:val="000000"/>
                <w:sz w:val="16"/>
                <w:szCs w:val="16"/>
                <w:lang w:val="tr-TR"/>
              </w:rPr>
            </w:pPr>
          </w:p>
        </w:tc>
      </w:tr>
      <w:tr w:rsidR="00293BE0" w:rsidRPr="00293BE0" w14:paraId="2A76C93A" w14:textId="77777777" w:rsidTr="00CD16A2">
        <w:trPr>
          <w:trHeight w:val="112"/>
          <w:jc w:val="center"/>
        </w:trPr>
        <w:tc>
          <w:tcPr>
            <w:tcW w:w="1838" w:type="dxa"/>
            <w:vMerge/>
            <w:tcBorders>
              <w:bottom w:val="single" w:sz="4" w:space="0" w:color="auto"/>
            </w:tcBorders>
          </w:tcPr>
          <w:p w14:paraId="0F7BBFC4" w14:textId="77777777" w:rsidR="00293BE0" w:rsidRPr="00293BE0" w:rsidRDefault="00293BE0" w:rsidP="00293BE0">
            <w:pPr>
              <w:contextualSpacing/>
              <w:jc w:val="both"/>
              <w:rPr>
                <w:rFonts w:eastAsia="Calibri"/>
                <w:color w:val="000000"/>
                <w:sz w:val="16"/>
                <w:szCs w:val="16"/>
                <w:lang w:val="tr-TR"/>
              </w:rPr>
            </w:pPr>
          </w:p>
        </w:tc>
        <w:tc>
          <w:tcPr>
            <w:tcW w:w="709" w:type="dxa"/>
            <w:tcBorders>
              <w:bottom w:val="single" w:sz="4" w:space="0" w:color="auto"/>
            </w:tcBorders>
          </w:tcPr>
          <w:p w14:paraId="19788E8F" w14:textId="77777777" w:rsidR="00293BE0" w:rsidRPr="00293BE0" w:rsidRDefault="00293BE0" w:rsidP="00293BE0">
            <w:pPr>
              <w:ind w:left="-108"/>
              <w:contextualSpacing/>
              <w:jc w:val="center"/>
              <w:rPr>
                <w:rFonts w:eastAsia="Calibri"/>
                <w:color w:val="000000"/>
                <w:sz w:val="16"/>
                <w:szCs w:val="16"/>
                <w:lang w:val="tr-TR"/>
              </w:rPr>
            </w:pPr>
            <w:r w:rsidRPr="00293BE0">
              <w:rPr>
                <w:rFonts w:eastAsia="Calibri"/>
                <w:color w:val="000000"/>
                <w:sz w:val="16"/>
                <w:szCs w:val="16"/>
                <w:lang w:val="tr-TR"/>
              </w:rPr>
              <w:t>Mean</w:t>
            </w:r>
          </w:p>
        </w:tc>
        <w:tc>
          <w:tcPr>
            <w:tcW w:w="709" w:type="dxa"/>
            <w:tcBorders>
              <w:bottom w:val="single" w:sz="4" w:space="0" w:color="auto"/>
            </w:tcBorders>
          </w:tcPr>
          <w:p w14:paraId="4101BAF2" w14:textId="77777777" w:rsidR="00293BE0" w:rsidRPr="00293BE0" w:rsidRDefault="00293BE0" w:rsidP="00293BE0">
            <w:pPr>
              <w:ind w:left="-108"/>
              <w:contextualSpacing/>
              <w:jc w:val="center"/>
              <w:rPr>
                <w:rFonts w:eastAsia="Calibri"/>
                <w:color w:val="000000"/>
                <w:sz w:val="16"/>
                <w:szCs w:val="16"/>
                <w:lang w:val="tr-TR"/>
              </w:rPr>
            </w:pPr>
            <w:r w:rsidRPr="00293BE0">
              <w:rPr>
                <w:rFonts w:eastAsia="Calibri"/>
                <w:color w:val="000000"/>
                <w:sz w:val="16"/>
                <w:szCs w:val="16"/>
                <w:lang w:val="tr-TR"/>
              </w:rPr>
              <w:t>Std.Dev</w:t>
            </w:r>
          </w:p>
        </w:tc>
        <w:tc>
          <w:tcPr>
            <w:tcW w:w="708" w:type="dxa"/>
            <w:tcBorders>
              <w:bottom w:val="single" w:sz="4" w:space="0" w:color="auto"/>
            </w:tcBorders>
          </w:tcPr>
          <w:p w14:paraId="7A6DBC30" w14:textId="77777777" w:rsidR="00293BE0" w:rsidRPr="00293BE0" w:rsidRDefault="00293BE0" w:rsidP="00293BE0">
            <w:pPr>
              <w:ind w:left="-108"/>
              <w:contextualSpacing/>
              <w:jc w:val="center"/>
              <w:rPr>
                <w:rFonts w:eastAsia="Calibri"/>
                <w:color w:val="000000"/>
                <w:sz w:val="16"/>
                <w:szCs w:val="16"/>
                <w:lang w:val="tr-TR"/>
              </w:rPr>
            </w:pPr>
            <w:r w:rsidRPr="00293BE0">
              <w:rPr>
                <w:rFonts w:eastAsia="Calibri"/>
                <w:color w:val="000000"/>
                <w:sz w:val="16"/>
                <w:szCs w:val="16"/>
                <w:lang w:val="tr-TR"/>
              </w:rPr>
              <w:t>Mean</w:t>
            </w:r>
          </w:p>
        </w:tc>
        <w:tc>
          <w:tcPr>
            <w:tcW w:w="709" w:type="dxa"/>
            <w:tcBorders>
              <w:bottom w:val="single" w:sz="4" w:space="0" w:color="auto"/>
            </w:tcBorders>
          </w:tcPr>
          <w:p w14:paraId="5ED97B51" w14:textId="77777777" w:rsidR="00293BE0" w:rsidRPr="00293BE0" w:rsidRDefault="00293BE0" w:rsidP="00293BE0">
            <w:pPr>
              <w:ind w:left="-108"/>
              <w:contextualSpacing/>
              <w:jc w:val="center"/>
              <w:rPr>
                <w:rFonts w:eastAsia="Calibri"/>
                <w:color w:val="000000"/>
                <w:sz w:val="16"/>
                <w:szCs w:val="16"/>
                <w:lang w:val="tr-TR"/>
              </w:rPr>
            </w:pPr>
            <w:r w:rsidRPr="00293BE0">
              <w:rPr>
                <w:rFonts w:eastAsia="Calibri"/>
                <w:color w:val="000000"/>
                <w:sz w:val="16"/>
                <w:szCs w:val="16"/>
                <w:lang w:val="tr-TR"/>
              </w:rPr>
              <w:t>Std.Dev.</w:t>
            </w:r>
          </w:p>
        </w:tc>
        <w:tc>
          <w:tcPr>
            <w:tcW w:w="709" w:type="dxa"/>
            <w:tcBorders>
              <w:bottom w:val="single" w:sz="4" w:space="0" w:color="auto"/>
            </w:tcBorders>
          </w:tcPr>
          <w:p w14:paraId="585CB242" w14:textId="77777777" w:rsidR="00293BE0" w:rsidRPr="00293BE0" w:rsidRDefault="00293BE0" w:rsidP="00293BE0">
            <w:pPr>
              <w:ind w:left="-108"/>
              <w:contextualSpacing/>
              <w:jc w:val="center"/>
              <w:rPr>
                <w:rFonts w:eastAsia="Calibri"/>
                <w:color w:val="000000"/>
                <w:sz w:val="16"/>
                <w:szCs w:val="16"/>
                <w:lang w:val="tr-TR"/>
              </w:rPr>
            </w:pPr>
            <w:r w:rsidRPr="00293BE0">
              <w:rPr>
                <w:rFonts w:eastAsia="Calibri"/>
                <w:color w:val="000000"/>
                <w:sz w:val="16"/>
                <w:szCs w:val="16"/>
                <w:lang w:val="tr-TR"/>
              </w:rPr>
              <w:t>Average</w:t>
            </w:r>
          </w:p>
        </w:tc>
        <w:tc>
          <w:tcPr>
            <w:tcW w:w="709" w:type="dxa"/>
            <w:tcBorders>
              <w:bottom w:val="single" w:sz="4" w:space="0" w:color="auto"/>
            </w:tcBorders>
          </w:tcPr>
          <w:p w14:paraId="772F7407" w14:textId="77777777" w:rsidR="00293BE0" w:rsidRPr="00293BE0" w:rsidRDefault="00293BE0" w:rsidP="00293BE0">
            <w:pPr>
              <w:ind w:left="-108"/>
              <w:contextualSpacing/>
              <w:jc w:val="center"/>
              <w:rPr>
                <w:rFonts w:eastAsia="Calibri"/>
                <w:color w:val="000000"/>
                <w:sz w:val="16"/>
                <w:szCs w:val="16"/>
                <w:lang w:val="tr-TR"/>
              </w:rPr>
            </w:pPr>
            <w:r w:rsidRPr="00293BE0">
              <w:rPr>
                <w:rFonts w:eastAsia="Calibri"/>
                <w:color w:val="000000"/>
                <w:sz w:val="16"/>
                <w:szCs w:val="16"/>
                <w:lang w:val="tr-TR"/>
              </w:rPr>
              <w:t>St.Dev</w:t>
            </w:r>
          </w:p>
        </w:tc>
        <w:tc>
          <w:tcPr>
            <w:tcW w:w="850" w:type="dxa"/>
            <w:vMerge/>
            <w:tcBorders>
              <w:bottom w:val="single" w:sz="4" w:space="0" w:color="auto"/>
            </w:tcBorders>
          </w:tcPr>
          <w:p w14:paraId="72831984" w14:textId="77777777" w:rsidR="00293BE0" w:rsidRPr="00293BE0" w:rsidRDefault="00293BE0" w:rsidP="00293BE0">
            <w:pPr>
              <w:contextualSpacing/>
              <w:jc w:val="both"/>
              <w:rPr>
                <w:rFonts w:eastAsia="Calibri"/>
                <w:color w:val="000000"/>
                <w:sz w:val="16"/>
                <w:szCs w:val="16"/>
                <w:lang w:val="tr-TR"/>
              </w:rPr>
            </w:pPr>
          </w:p>
        </w:tc>
      </w:tr>
      <w:tr w:rsidR="00293BE0" w:rsidRPr="00293BE0" w14:paraId="1A2A80B3" w14:textId="77777777" w:rsidTr="00CD16A2">
        <w:trPr>
          <w:trHeight w:val="71"/>
          <w:jc w:val="center"/>
        </w:trPr>
        <w:tc>
          <w:tcPr>
            <w:tcW w:w="1838" w:type="dxa"/>
            <w:tcBorders>
              <w:top w:val="single" w:sz="4" w:space="0" w:color="auto"/>
            </w:tcBorders>
            <w:vAlign w:val="center"/>
            <w:hideMark/>
          </w:tcPr>
          <w:p w14:paraId="2A127BAE" w14:textId="77777777" w:rsidR="00293BE0" w:rsidRPr="00293BE0" w:rsidRDefault="00293BE0" w:rsidP="00293BE0">
            <w:pPr>
              <w:ind w:left="-89"/>
              <w:jc w:val="both"/>
              <w:rPr>
                <w:color w:val="000000"/>
                <w:sz w:val="16"/>
                <w:szCs w:val="16"/>
                <w:lang w:val="en-GB" w:eastAsia="en-GB"/>
              </w:rPr>
            </w:pPr>
            <w:r w:rsidRPr="00293BE0">
              <w:rPr>
                <w:sz w:val="16"/>
                <w:szCs w:val="16"/>
                <w:lang w:val="en-GB" w:eastAsia="en-GB"/>
              </w:rPr>
              <w:t>Social Acceptance</w:t>
            </w:r>
          </w:p>
        </w:tc>
        <w:tc>
          <w:tcPr>
            <w:tcW w:w="709" w:type="dxa"/>
            <w:tcBorders>
              <w:top w:val="single" w:sz="4" w:space="0" w:color="auto"/>
            </w:tcBorders>
            <w:vAlign w:val="center"/>
          </w:tcPr>
          <w:p w14:paraId="221F923D" w14:textId="77777777" w:rsidR="00293BE0" w:rsidRPr="00293BE0" w:rsidRDefault="00293BE0" w:rsidP="00293BE0">
            <w:pPr>
              <w:contextualSpacing/>
              <w:jc w:val="both"/>
              <w:rPr>
                <w:rFonts w:eastAsia="Calibri"/>
                <w:bCs/>
                <w:color w:val="000000"/>
                <w:sz w:val="16"/>
                <w:szCs w:val="16"/>
                <w:lang w:val="tr-TR"/>
              </w:rPr>
            </w:pPr>
            <w:r w:rsidRPr="00293BE0">
              <w:rPr>
                <w:rFonts w:eastAsia="Calibri"/>
                <w:bCs/>
                <w:color w:val="000000"/>
                <w:sz w:val="16"/>
                <w:szCs w:val="16"/>
                <w:lang w:val="tr-TR"/>
              </w:rPr>
              <w:t>40.181</w:t>
            </w:r>
          </w:p>
        </w:tc>
        <w:tc>
          <w:tcPr>
            <w:tcW w:w="709" w:type="dxa"/>
            <w:tcBorders>
              <w:top w:val="single" w:sz="4" w:space="0" w:color="auto"/>
            </w:tcBorders>
            <w:vAlign w:val="center"/>
          </w:tcPr>
          <w:p w14:paraId="3039E156" w14:textId="77777777" w:rsidR="00293BE0" w:rsidRPr="00293BE0" w:rsidRDefault="00293BE0" w:rsidP="00293BE0">
            <w:pPr>
              <w:contextualSpacing/>
              <w:jc w:val="both"/>
              <w:rPr>
                <w:rFonts w:eastAsia="Calibri"/>
                <w:bCs/>
                <w:color w:val="000000"/>
                <w:sz w:val="16"/>
                <w:szCs w:val="16"/>
                <w:lang w:val="tr-TR"/>
              </w:rPr>
            </w:pPr>
            <w:r w:rsidRPr="00293BE0">
              <w:rPr>
                <w:rFonts w:eastAsia="Calibri"/>
                <w:bCs/>
                <w:color w:val="000000"/>
                <w:sz w:val="16"/>
                <w:szCs w:val="16"/>
                <w:lang w:val="tr-TR"/>
              </w:rPr>
              <w:t>5.095</w:t>
            </w:r>
          </w:p>
        </w:tc>
        <w:tc>
          <w:tcPr>
            <w:tcW w:w="708" w:type="dxa"/>
            <w:tcBorders>
              <w:top w:val="single" w:sz="4" w:space="0" w:color="auto"/>
            </w:tcBorders>
            <w:vAlign w:val="center"/>
          </w:tcPr>
          <w:p w14:paraId="37867C68" w14:textId="77777777" w:rsidR="00293BE0" w:rsidRPr="00293BE0" w:rsidRDefault="00293BE0" w:rsidP="00293BE0">
            <w:pPr>
              <w:contextualSpacing/>
              <w:jc w:val="both"/>
              <w:rPr>
                <w:rFonts w:eastAsia="Calibri"/>
                <w:bCs/>
                <w:color w:val="000000"/>
                <w:sz w:val="16"/>
                <w:szCs w:val="16"/>
                <w:lang w:val="tr-TR"/>
              </w:rPr>
            </w:pPr>
            <w:r w:rsidRPr="00293BE0">
              <w:rPr>
                <w:rFonts w:eastAsia="Calibri"/>
                <w:bCs/>
                <w:color w:val="000000"/>
                <w:sz w:val="16"/>
                <w:szCs w:val="16"/>
                <w:lang w:val="tr-TR"/>
              </w:rPr>
              <w:t>40.049</w:t>
            </w:r>
          </w:p>
        </w:tc>
        <w:tc>
          <w:tcPr>
            <w:tcW w:w="709" w:type="dxa"/>
            <w:tcBorders>
              <w:top w:val="single" w:sz="4" w:space="0" w:color="auto"/>
            </w:tcBorders>
            <w:vAlign w:val="center"/>
          </w:tcPr>
          <w:p w14:paraId="3D5F654B" w14:textId="77777777" w:rsidR="00293BE0" w:rsidRPr="00293BE0" w:rsidRDefault="00293BE0" w:rsidP="00293BE0">
            <w:pPr>
              <w:contextualSpacing/>
              <w:jc w:val="both"/>
              <w:rPr>
                <w:rFonts w:eastAsia="Calibri"/>
                <w:bCs/>
                <w:color w:val="000000"/>
                <w:sz w:val="16"/>
                <w:szCs w:val="16"/>
                <w:lang w:val="tr-TR"/>
              </w:rPr>
            </w:pPr>
            <w:r w:rsidRPr="00293BE0">
              <w:rPr>
                <w:rFonts w:eastAsia="Calibri"/>
                <w:bCs/>
                <w:color w:val="000000"/>
                <w:sz w:val="16"/>
                <w:szCs w:val="16"/>
                <w:lang w:val="tr-TR"/>
              </w:rPr>
              <w:t>6.912</w:t>
            </w:r>
          </w:p>
        </w:tc>
        <w:tc>
          <w:tcPr>
            <w:tcW w:w="709" w:type="dxa"/>
            <w:tcBorders>
              <w:top w:val="single" w:sz="4" w:space="0" w:color="auto"/>
            </w:tcBorders>
            <w:vAlign w:val="center"/>
          </w:tcPr>
          <w:p w14:paraId="0FBDBAFA" w14:textId="77777777" w:rsidR="00293BE0" w:rsidRPr="00293BE0" w:rsidRDefault="00293BE0" w:rsidP="00293BE0">
            <w:pPr>
              <w:contextualSpacing/>
              <w:jc w:val="both"/>
              <w:rPr>
                <w:rFonts w:eastAsia="Calibri"/>
                <w:bCs/>
                <w:color w:val="000000"/>
                <w:sz w:val="16"/>
                <w:szCs w:val="16"/>
                <w:lang w:val="tr-TR"/>
              </w:rPr>
            </w:pPr>
            <w:r w:rsidRPr="00293BE0">
              <w:rPr>
                <w:rFonts w:eastAsia="Calibri"/>
                <w:bCs/>
                <w:color w:val="000000"/>
                <w:sz w:val="16"/>
                <w:szCs w:val="16"/>
                <w:lang w:val="tr-TR"/>
              </w:rPr>
              <w:t>37.674</w:t>
            </w:r>
          </w:p>
        </w:tc>
        <w:tc>
          <w:tcPr>
            <w:tcW w:w="709" w:type="dxa"/>
            <w:tcBorders>
              <w:top w:val="single" w:sz="4" w:space="0" w:color="auto"/>
            </w:tcBorders>
            <w:vAlign w:val="center"/>
          </w:tcPr>
          <w:p w14:paraId="7CBABC4B" w14:textId="77777777" w:rsidR="00293BE0" w:rsidRPr="00293BE0" w:rsidRDefault="00293BE0" w:rsidP="00293BE0">
            <w:pPr>
              <w:contextualSpacing/>
              <w:jc w:val="both"/>
              <w:rPr>
                <w:rFonts w:eastAsia="Calibri"/>
                <w:bCs/>
                <w:color w:val="000000"/>
                <w:sz w:val="16"/>
                <w:szCs w:val="16"/>
                <w:lang w:val="tr-TR"/>
              </w:rPr>
            </w:pPr>
            <w:r w:rsidRPr="00293BE0">
              <w:rPr>
                <w:rFonts w:eastAsia="Calibri"/>
                <w:bCs/>
                <w:color w:val="000000"/>
                <w:sz w:val="16"/>
                <w:szCs w:val="16"/>
                <w:lang w:val="tr-TR"/>
              </w:rPr>
              <w:t>8.275</w:t>
            </w:r>
          </w:p>
        </w:tc>
        <w:tc>
          <w:tcPr>
            <w:tcW w:w="850" w:type="dxa"/>
            <w:tcBorders>
              <w:top w:val="single" w:sz="4" w:space="0" w:color="auto"/>
            </w:tcBorders>
            <w:vAlign w:val="center"/>
          </w:tcPr>
          <w:p w14:paraId="22D68149" w14:textId="77777777" w:rsidR="00293BE0" w:rsidRPr="00293BE0" w:rsidRDefault="00293BE0" w:rsidP="00293BE0">
            <w:pPr>
              <w:contextualSpacing/>
              <w:jc w:val="both"/>
              <w:rPr>
                <w:rFonts w:eastAsia="Calibri"/>
                <w:bCs/>
                <w:color w:val="000000"/>
                <w:sz w:val="16"/>
                <w:szCs w:val="16"/>
                <w:lang w:val="tr-TR"/>
              </w:rPr>
            </w:pPr>
            <w:r w:rsidRPr="00293BE0">
              <w:rPr>
                <w:rFonts w:eastAsia="Calibri"/>
                <w:bCs/>
                <w:color w:val="000000"/>
                <w:sz w:val="16"/>
                <w:szCs w:val="16"/>
                <w:lang w:val="tr-TR"/>
              </w:rPr>
              <w:t>.169</w:t>
            </w:r>
          </w:p>
        </w:tc>
      </w:tr>
      <w:tr w:rsidR="00293BE0" w:rsidRPr="00293BE0" w14:paraId="2E514771" w14:textId="77777777" w:rsidTr="00CD16A2">
        <w:trPr>
          <w:trHeight w:val="159"/>
          <w:jc w:val="center"/>
        </w:trPr>
        <w:tc>
          <w:tcPr>
            <w:tcW w:w="1838" w:type="dxa"/>
            <w:vAlign w:val="center"/>
          </w:tcPr>
          <w:p w14:paraId="6B9808D3" w14:textId="77777777" w:rsidR="00293BE0" w:rsidRPr="00293BE0" w:rsidRDefault="00293BE0" w:rsidP="00293BE0">
            <w:pPr>
              <w:ind w:left="-89"/>
              <w:jc w:val="both"/>
              <w:rPr>
                <w:color w:val="000000"/>
                <w:sz w:val="16"/>
                <w:szCs w:val="16"/>
                <w:lang w:val="en-GB" w:eastAsia="en-GB"/>
              </w:rPr>
            </w:pPr>
            <w:r w:rsidRPr="00293BE0">
              <w:rPr>
                <w:sz w:val="16"/>
                <w:szCs w:val="16"/>
                <w:lang w:val="en-GB" w:eastAsia="en-GB"/>
              </w:rPr>
              <w:t>Student Behaviour</w:t>
            </w:r>
          </w:p>
        </w:tc>
        <w:tc>
          <w:tcPr>
            <w:tcW w:w="709" w:type="dxa"/>
            <w:vAlign w:val="center"/>
          </w:tcPr>
          <w:p w14:paraId="42977087" w14:textId="77777777" w:rsidR="00293BE0" w:rsidRPr="00293BE0" w:rsidRDefault="00293BE0" w:rsidP="00293BE0">
            <w:pPr>
              <w:contextualSpacing/>
              <w:jc w:val="both"/>
              <w:rPr>
                <w:rFonts w:eastAsia="Calibri"/>
                <w:color w:val="000000"/>
                <w:sz w:val="16"/>
                <w:szCs w:val="16"/>
                <w:lang w:val="tr-TR"/>
              </w:rPr>
            </w:pPr>
            <w:r w:rsidRPr="00293BE0">
              <w:rPr>
                <w:rFonts w:eastAsia="Calibri"/>
                <w:color w:val="000000"/>
                <w:sz w:val="16"/>
                <w:szCs w:val="16"/>
                <w:lang w:val="tr-TR"/>
              </w:rPr>
              <w:t>25.818</w:t>
            </w:r>
          </w:p>
        </w:tc>
        <w:tc>
          <w:tcPr>
            <w:tcW w:w="709" w:type="dxa"/>
            <w:vAlign w:val="center"/>
          </w:tcPr>
          <w:p w14:paraId="46C4B7D8" w14:textId="77777777" w:rsidR="00293BE0" w:rsidRPr="00293BE0" w:rsidRDefault="00293BE0" w:rsidP="00293BE0">
            <w:pPr>
              <w:contextualSpacing/>
              <w:jc w:val="both"/>
              <w:rPr>
                <w:rFonts w:eastAsia="Calibri"/>
                <w:color w:val="000000"/>
                <w:sz w:val="16"/>
                <w:szCs w:val="16"/>
                <w:lang w:val="tr-TR"/>
              </w:rPr>
            </w:pPr>
            <w:r w:rsidRPr="00293BE0">
              <w:rPr>
                <w:rFonts w:eastAsia="Calibri"/>
                <w:color w:val="000000"/>
                <w:sz w:val="16"/>
                <w:szCs w:val="16"/>
                <w:lang w:val="tr-TR"/>
              </w:rPr>
              <w:t>1.424</w:t>
            </w:r>
          </w:p>
        </w:tc>
        <w:tc>
          <w:tcPr>
            <w:tcW w:w="708" w:type="dxa"/>
            <w:vAlign w:val="center"/>
          </w:tcPr>
          <w:p w14:paraId="03CDBA48" w14:textId="77777777" w:rsidR="00293BE0" w:rsidRPr="00293BE0" w:rsidRDefault="00293BE0" w:rsidP="00293BE0">
            <w:pPr>
              <w:contextualSpacing/>
              <w:jc w:val="both"/>
              <w:rPr>
                <w:rFonts w:eastAsia="Calibri"/>
                <w:color w:val="000000"/>
                <w:sz w:val="16"/>
                <w:szCs w:val="16"/>
                <w:lang w:val="tr-TR"/>
              </w:rPr>
            </w:pPr>
            <w:r w:rsidRPr="00293BE0">
              <w:rPr>
                <w:rFonts w:eastAsia="Calibri"/>
                <w:color w:val="000000"/>
                <w:sz w:val="16"/>
                <w:szCs w:val="16"/>
                <w:lang w:val="tr-TR"/>
              </w:rPr>
              <w:t>25.901</w:t>
            </w:r>
          </w:p>
        </w:tc>
        <w:tc>
          <w:tcPr>
            <w:tcW w:w="709" w:type="dxa"/>
            <w:vAlign w:val="center"/>
          </w:tcPr>
          <w:p w14:paraId="06700359" w14:textId="77777777" w:rsidR="00293BE0" w:rsidRPr="00293BE0" w:rsidRDefault="00293BE0" w:rsidP="00293BE0">
            <w:pPr>
              <w:contextualSpacing/>
              <w:jc w:val="both"/>
              <w:rPr>
                <w:rFonts w:eastAsia="Calibri"/>
                <w:color w:val="000000"/>
                <w:sz w:val="16"/>
                <w:szCs w:val="16"/>
                <w:lang w:val="tr-TR"/>
              </w:rPr>
            </w:pPr>
            <w:r w:rsidRPr="00293BE0">
              <w:rPr>
                <w:rFonts w:eastAsia="Calibri"/>
                <w:color w:val="000000"/>
                <w:sz w:val="16"/>
                <w:szCs w:val="16"/>
                <w:lang w:val="tr-TR"/>
              </w:rPr>
              <w:t>1.903</w:t>
            </w:r>
          </w:p>
        </w:tc>
        <w:tc>
          <w:tcPr>
            <w:tcW w:w="709" w:type="dxa"/>
            <w:vAlign w:val="center"/>
          </w:tcPr>
          <w:p w14:paraId="123D20BC" w14:textId="77777777" w:rsidR="00293BE0" w:rsidRPr="00293BE0" w:rsidRDefault="00293BE0" w:rsidP="00293BE0">
            <w:pPr>
              <w:contextualSpacing/>
              <w:jc w:val="both"/>
              <w:rPr>
                <w:rFonts w:eastAsia="Calibri"/>
                <w:color w:val="000000"/>
                <w:sz w:val="16"/>
                <w:szCs w:val="16"/>
                <w:lang w:val="tr-TR"/>
              </w:rPr>
            </w:pPr>
            <w:r w:rsidRPr="00293BE0">
              <w:rPr>
                <w:rFonts w:eastAsia="Calibri"/>
                <w:color w:val="000000"/>
                <w:sz w:val="16"/>
                <w:szCs w:val="16"/>
                <w:lang w:val="tr-TR"/>
              </w:rPr>
              <w:t>25.103</w:t>
            </w:r>
          </w:p>
        </w:tc>
        <w:tc>
          <w:tcPr>
            <w:tcW w:w="709" w:type="dxa"/>
            <w:vAlign w:val="center"/>
          </w:tcPr>
          <w:p w14:paraId="4E1D9700" w14:textId="77777777" w:rsidR="00293BE0" w:rsidRPr="00293BE0" w:rsidRDefault="00293BE0" w:rsidP="00293BE0">
            <w:pPr>
              <w:contextualSpacing/>
              <w:jc w:val="both"/>
              <w:rPr>
                <w:rFonts w:eastAsia="Calibri"/>
                <w:color w:val="000000"/>
                <w:sz w:val="16"/>
                <w:szCs w:val="16"/>
                <w:lang w:val="tr-TR"/>
              </w:rPr>
            </w:pPr>
            <w:r w:rsidRPr="00293BE0">
              <w:rPr>
                <w:rFonts w:eastAsia="Calibri"/>
                <w:color w:val="000000"/>
                <w:sz w:val="16"/>
                <w:szCs w:val="16"/>
                <w:lang w:val="tr-TR"/>
              </w:rPr>
              <w:t>3.090</w:t>
            </w:r>
          </w:p>
        </w:tc>
        <w:tc>
          <w:tcPr>
            <w:tcW w:w="850" w:type="dxa"/>
            <w:vAlign w:val="center"/>
          </w:tcPr>
          <w:p w14:paraId="6036B882" w14:textId="77777777" w:rsidR="00293BE0" w:rsidRPr="00293BE0" w:rsidRDefault="00293BE0" w:rsidP="00293BE0">
            <w:pPr>
              <w:contextualSpacing/>
              <w:jc w:val="both"/>
              <w:rPr>
                <w:rFonts w:eastAsia="Calibri"/>
                <w:color w:val="000000"/>
                <w:sz w:val="16"/>
                <w:szCs w:val="16"/>
                <w:lang w:val="tr-TR"/>
              </w:rPr>
            </w:pPr>
            <w:r w:rsidRPr="00293BE0">
              <w:rPr>
                <w:rFonts w:eastAsia="Calibri"/>
                <w:color w:val="000000"/>
                <w:sz w:val="16"/>
                <w:szCs w:val="16"/>
                <w:lang w:val="tr-TR"/>
              </w:rPr>
              <w:t>.038*</w:t>
            </w:r>
          </w:p>
        </w:tc>
      </w:tr>
      <w:tr w:rsidR="00293BE0" w:rsidRPr="00293BE0" w14:paraId="5098A5AD" w14:textId="77777777" w:rsidTr="00CD16A2">
        <w:trPr>
          <w:trHeight w:val="106"/>
          <w:jc w:val="center"/>
        </w:trPr>
        <w:tc>
          <w:tcPr>
            <w:tcW w:w="1838" w:type="dxa"/>
            <w:vAlign w:val="center"/>
          </w:tcPr>
          <w:p w14:paraId="7F2E8952" w14:textId="77777777" w:rsidR="00293BE0" w:rsidRPr="00293BE0" w:rsidRDefault="00293BE0" w:rsidP="00293BE0">
            <w:pPr>
              <w:ind w:left="-89"/>
              <w:jc w:val="both"/>
              <w:rPr>
                <w:color w:val="000000"/>
                <w:sz w:val="16"/>
                <w:szCs w:val="16"/>
                <w:lang w:val="en-GB" w:eastAsia="en-GB"/>
              </w:rPr>
            </w:pPr>
            <w:r w:rsidRPr="00293BE0">
              <w:rPr>
                <w:sz w:val="16"/>
                <w:szCs w:val="16"/>
                <w:lang w:val="en-GB" w:eastAsia="en-GB"/>
              </w:rPr>
              <w:t>Peer Attitude</w:t>
            </w:r>
          </w:p>
        </w:tc>
        <w:tc>
          <w:tcPr>
            <w:tcW w:w="709" w:type="dxa"/>
            <w:vAlign w:val="center"/>
          </w:tcPr>
          <w:p w14:paraId="375715BC" w14:textId="77777777" w:rsidR="00293BE0" w:rsidRPr="00293BE0" w:rsidRDefault="00293BE0" w:rsidP="00293BE0">
            <w:pPr>
              <w:contextualSpacing/>
              <w:jc w:val="both"/>
              <w:rPr>
                <w:rFonts w:eastAsia="Calibri"/>
                <w:color w:val="000000"/>
                <w:sz w:val="16"/>
                <w:szCs w:val="16"/>
                <w:lang w:val="tr-TR"/>
              </w:rPr>
            </w:pPr>
            <w:r w:rsidRPr="00293BE0">
              <w:rPr>
                <w:rFonts w:eastAsia="Calibri"/>
                <w:color w:val="000000"/>
                <w:sz w:val="16"/>
                <w:szCs w:val="16"/>
                <w:lang w:val="tr-TR"/>
              </w:rPr>
              <w:t>18.697</w:t>
            </w:r>
          </w:p>
        </w:tc>
        <w:tc>
          <w:tcPr>
            <w:tcW w:w="709" w:type="dxa"/>
            <w:vAlign w:val="center"/>
          </w:tcPr>
          <w:p w14:paraId="22E9AC62" w14:textId="77777777" w:rsidR="00293BE0" w:rsidRPr="00293BE0" w:rsidRDefault="00293BE0" w:rsidP="00293BE0">
            <w:pPr>
              <w:contextualSpacing/>
              <w:jc w:val="both"/>
              <w:rPr>
                <w:rFonts w:eastAsia="Calibri"/>
                <w:color w:val="000000"/>
                <w:sz w:val="16"/>
                <w:szCs w:val="16"/>
                <w:lang w:val="tr-TR"/>
              </w:rPr>
            </w:pPr>
            <w:r w:rsidRPr="00293BE0">
              <w:rPr>
                <w:rFonts w:eastAsia="Calibri"/>
                <w:color w:val="000000"/>
                <w:sz w:val="16"/>
                <w:szCs w:val="16"/>
                <w:lang w:val="tr-TR"/>
              </w:rPr>
              <w:t>2.567</w:t>
            </w:r>
          </w:p>
        </w:tc>
        <w:tc>
          <w:tcPr>
            <w:tcW w:w="708" w:type="dxa"/>
            <w:vAlign w:val="center"/>
          </w:tcPr>
          <w:p w14:paraId="7986F255" w14:textId="77777777" w:rsidR="00293BE0" w:rsidRPr="00293BE0" w:rsidRDefault="00293BE0" w:rsidP="00293BE0">
            <w:pPr>
              <w:contextualSpacing/>
              <w:jc w:val="both"/>
              <w:rPr>
                <w:rFonts w:eastAsia="Calibri"/>
                <w:color w:val="000000"/>
                <w:sz w:val="16"/>
                <w:szCs w:val="16"/>
                <w:lang w:val="tr-TR"/>
              </w:rPr>
            </w:pPr>
            <w:r w:rsidRPr="00293BE0">
              <w:rPr>
                <w:rFonts w:eastAsia="Calibri"/>
                <w:color w:val="000000"/>
                <w:sz w:val="16"/>
                <w:szCs w:val="16"/>
                <w:lang w:val="tr-TR"/>
              </w:rPr>
              <w:t>19.163</w:t>
            </w:r>
          </w:p>
        </w:tc>
        <w:tc>
          <w:tcPr>
            <w:tcW w:w="709" w:type="dxa"/>
            <w:vAlign w:val="center"/>
          </w:tcPr>
          <w:p w14:paraId="490B92B3" w14:textId="77777777" w:rsidR="00293BE0" w:rsidRPr="00293BE0" w:rsidRDefault="00293BE0" w:rsidP="00293BE0">
            <w:pPr>
              <w:contextualSpacing/>
              <w:jc w:val="both"/>
              <w:rPr>
                <w:rFonts w:eastAsia="Calibri"/>
                <w:color w:val="000000"/>
                <w:sz w:val="16"/>
                <w:szCs w:val="16"/>
                <w:lang w:val="tr-TR"/>
              </w:rPr>
            </w:pPr>
            <w:r w:rsidRPr="00293BE0">
              <w:rPr>
                <w:rFonts w:eastAsia="Calibri"/>
                <w:color w:val="000000"/>
                <w:sz w:val="16"/>
                <w:szCs w:val="16"/>
                <w:lang w:val="tr-TR"/>
              </w:rPr>
              <w:t>1.881</w:t>
            </w:r>
          </w:p>
        </w:tc>
        <w:tc>
          <w:tcPr>
            <w:tcW w:w="709" w:type="dxa"/>
            <w:vAlign w:val="center"/>
          </w:tcPr>
          <w:p w14:paraId="5C07C58D" w14:textId="77777777" w:rsidR="00293BE0" w:rsidRPr="00293BE0" w:rsidRDefault="00293BE0" w:rsidP="00293BE0">
            <w:pPr>
              <w:contextualSpacing/>
              <w:jc w:val="both"/>
              <w:rPr>
                <w:rFonts w:eastAsia="Calibri"/>
                <w:color w:val="000000"/>
                <w:sz w:val="16"/>
                <w:szCs w:val="16"/>
                <w:lang w:val="tr-TR"/>
              </w:rPr>
            </w:pPr>
            <w:r w:rsidRPr="00293BE0">
              <w:rPr>
                <w:rFonts w:eastAsia="Calibri"/>
                <w:color w:val="000000"/>
                <w:sz w:val="16"/>
                <w:szCs w:val="16"/>
                <w:lang w:val="tr-TR"/>
              </w:rPr>
              <w:t>18.809</w:t>
            </w:r>
          </w:p>
        </w:tc>
        <w:tc>
          <w:tcPr>
            <w:tcW w:w="709" w:type="dxa"/>
            <w:vAlign w:val="center"/>
          </w:tcPr>
          <w:p w14:paraId="31329AF9" w14:textId="77777777" w:rsidR="00293BE0" w:rsidRPr="00293BE0" w:rsidRDefault="00293BE0" w:rsidP="00293BE0">
            <w:pPr>
              <w:contextualSpacing/>
              <w:jc w:val="both"/>
              <w:rPr>
                <w:rFonts w:eastAsia="Calibri"/>
                <w:color w:val="000000"/>
                <w:sz w:val="16"/>
                <w:szCs w:val="16"/>
                <w:lang w:val="tr-TR"/>
              </w:rPr>
            </w:pPr>
            <w:r w:rsidRPr="00293BE0">
              <w:rPr>
                <w:rFonts w:eastAsia="Calibri"/>
                <w:color w:val="000000"/>
                <w:sz w:val="16"/>
                <w:szCs w:val="16"/>
                <w:lang w:val="tr-TR"/>
              </w:rPr>
              <w:t>2.448</w:t>
            </w:r>
          </w:p>
        </w:tc>
        <w:tc>
          <w:tcPr>
            <w:tcW w:w="850" w:type="dxa"/>
            <w:vAlign w:val="center"/>
          </w:tcPr>
          <w:p w14:paraId="7D7019BF" w14:textId="77777777" w:rsidR="00293BE0" w:rsidRPr="00293BE0" w:rsidRDefault="00293BE0" w:rsidP="00293BE0">
            <w:pPr>
              <w:contextualSpacing/>
              <w:jc w:val="both"/>
              <w:rPr>
                <w:rFonts w:eastAsia="Calibri"/>
                <w:color w:val="000000"/>
                <w:sz w:val="16"/>
                <w:szCs w:val="16"/>
                <w:lang w:val="tr-TR"/>
              </w:rPr>
            </w:pPr>
            <w:r w:rsidRPr="00293BE0">
              <w:rPr>
                <w:rFonts w:eastAsia="Calibri"/>
                <w:color w:val="000000"/>
                <w:sz w:val="16"/>
                <w:szCs w:val="16"/>
                <w:lang w:val="tr-TR"/>
              </w:rPr>
              <w:t>.652</w:t>
            </w:r>
          </w:p>
        </w:tc>
      </w:tr>
      <w:tr w:rsidR="00293BE0" w:rsidRPr="00293BE0" w14:paraId="03560B96" w14:textId="77777777" w:rsidTr="00CD16A2">
        <w:trPr>
          <w:trHeight w:val="53"/>
          <w:jc w:val="center"/>
        </w:trPr>
        <w:tc>
          <w:tcPr>
            <w:tcW w:w="1838" w:type="dxa"/>
            <w:tcBorders>
              <w:bottom w:val="single" w:sz="4" w:space="0" w:color="auto"/>
            </w:tcBorders>
            <w:vAlign w:val="center"/>
          </w:tcPr>
          <w:p w14:paraId="0B18D044" w14:textId="77777777" w:rsidR="00293BE0" w:rsidRPr="00293BE0" w:rsidRDefault="00293BE0" w:rsidP="00293BE0">
            <w:pPr>
              <w:ind w:left="-89"/>
              <w:contextualSpacing/>
              <w:rPr>
                <w:rFonts w:eastAsia="Calibri"/>
                <w:color w:val="000000"/>
                <w:sz w:val="16"/>
                <w:szCs w:val="16"/>
                <w:lang w:val="tr-TR"/>
              </w:rPr>
            </w:pPr>
            <w:r w:rsidRPr="00293BE0">
              <w:rPr>
                <w:rFonts w:eastAsia="Calibri"/>
                <w:sz w:val="16"/>
                <w:szCs w:val="16"/>
                <w:lang w:val="en-GB"/>
              </w:rPr>
              <w:t>Social Acceptance Scale</w:t>
            </w:r>
          </w:p>
        </w:tc>
        <w:tc>
          <w:tcPr>
            <w:tcW w:w="709" w:type="dxa"/>
            <w:tcBorders>
              <w:bottom w:val="single" w:sz="4" w:space="0" w:color="auto"/>
            </w:tcBorders>
            <w:vAlign w:val="center"/>
          </w:tcPr>
          <w:p w14:paraId="51FA8231" w14:textId="77777777" w:rsidR="00293BE0" w:rsidRPr="00293BE0" w:rsidRDefault="00293BE0" w:rsidP="00293BE0">
            <w:pPr>
              <w:contextualSpacing/>
              <w:jc w:val="both"/>
              <w:rPr>
                <w:rFonts w:eastAsia="Calibri"/>
                <w:color w:val="000000"/>
                <w:sz w:val="16"/>
                <w:szCs w:val="16"/>
                <w:lang w:val="tr-TR"/>
              </w:rPr>
            </w:pPr>
            <w:r w:rsidRPr="00293BE0">
              <w:rPr>
                <w:rFonts w:eastAsia="Calibri"/>
                <w:color w:val="000000"/>
                <w:sz w:val="16"/>
                <w:szCs w:val="16"/>
                <w:lang w:val="tr-TR"/>
              </w:rPr>
              <w:t>84.697</w:t>
            </w:r>
          </w:p>
        </w:tc>
        <w:tc>
          <w:tcPr>
            <w:tcW w:w="709" w:type="dxa"/>
            <w:tcBorders>
              <w:bottom w:val="single" w:sz="4" w:space="0" w:color="auto"/>
            </w:tcBorders>
            <w:vAlign w:val="center"/>
          </w:tcPr>
          <w:p w14:paraId="12616234" w14:textId="77777777" w:rsidR="00293BE0" w:rsidRPr="00293BE0" w:rsidRDefault="00293BE0" w:rsidP="00293BE0">
            <w:pPr>
              <w:contextualSpacing/>
              <w:jc w:val="both"/>
              <w:rPr>
                <w:rFonts w:eastAsia="Calibri"/>
                <w:color w:val="000000"/>
                <w:sz w:val="16"/>
                <w:szCs w:val="16"/>
                <w:lang w:val="tr-TR"/>
              </w:rPr>
            </w:pPr>
            <w:r w:rsidRPr="00293BE0">
              <w:rPr>
                <w:rFonts w:eastAsia="Calibri"/>
                <w:color w:val="000000"/>
                <w:sz w:val="16"/>
                <w:szCs w:val="16"/>
                <w:lang w:val="tr-TR"/>
              </w:rPr>
              <w:t>7.359</w:t>
            </w:r>
          </w:p>
        </w:tc>
        <w:tc>
          <w:tcPr>
            <w:tcW w:w="708" w:type="dxa"/>
            <w:tcBorders>
              <w:bottom w:val="single" w:sz="4" w:space="0" w:color="auto"/>
            </w:tcBorders>
            <w:vAlign w:val="center"/>
          </w:tcPr>
          <w:p w14:paraId="3D01148C" w14:textId="77777777" w:rsidR="00293BE0" w:rsidRPr="00293BE0" w:rsidRDefault="00293BE0" w:rsidP="00293BE0">
            <w:pPr>
              <w:contextualSpacing/>
              <w:jc w:val="both"/>
              <w:rPr>
                <w:rFonts w:eastAsia="Calibri"/>
                <w:color w:val="000000"/>
                <w:sz w:val="16"/>
                <w:szCs w:val="16"/>
                <w:lang w:val="tr-TR"/>
              </w:rPr>
            </w:pPr>
            <w:r w:rsidRPr="00293BE0">
              <w:rPr>
                <w:rFonts w:eastAsia="Calibri"/>
                <w:color w:val="000000"/>
                <w:sz w:val="16"/>
                <w:szCs w:val="16"/>
                <w:lang w:val="tr-TR"/>
              </w:rPr>
              <w:t>85.114</w:t>
            </w:r>
          </w:p>
        </w:tc>
        <w:tc>
          <w:tcPr>
            <w:tcW w:w="709" w:type="dxa"/>
            <w:tcBorders>
              <w:bottom w:val="single" w:sz="4" w:space="0" w:color="auto"/>
            </w:tcBorders>
            <w:vAlign w:val="center"/>
          </w:tcPr>
          <w:p w14:paraId="6D7E066A" w14:textId="77777777" w:rsidR="00293BE0" w:rsidRPr="00293BE0" w:rsidRDefault="00293BE0" w:rsidP="00293BE0">
            <w:pPr>
              <w:contextualSpacing/>
              <w:jc w:val="both"/>
              <w:rPr>
                <w:rFonts w:eastAsia="Calibri"/>
                <w:color w:val="000000"/>
                <w:sz w:val="16"/>
                <w:szCs w:val="16"/>
                <w:lang w:val="tr-TR"/>
              </w:rPr>
            </w:pPr>
            <w:r w:rsidRPr="00293BE0">
              <w:rPr>
                <w:rFonts w:eastAsia="Calibri"/>
                <w:color w:val="000000"/>
                <w:sz w:val="16"/>
                <w:szCs w:val="16"/>
                <w:lang w:val="tr-TR"/>
              </w:rPr>
              <w:t>9.681</w:t>
            </w:r>
          </w:p>
        </w:tc>
        <w:tc>
          <w:tcPr>
            <w:tcW w:w="709" w:type="dxa"/>
            <w:tcBorders>
              <w:bottom w:val="single" w:sz="4" w:space="0" w:color="auto"/>
            </w:tcBorders>
            <w:vAlign w:val="center"/>
          </w:tcPr>
          <w:p w14:paraId="16C8FC42" w14:textId="77777777" w:rsidR="00293BE0" w:rsidRPr="00293BE0" w:rsidRDefault="00293BE0" w:rsidP="00293BE0">
            <w:pPr>
              <w:contextualSpacing/>
              <w:jc w:val="both"/>
              <w:rPr>
                <w:rFonts w:eastAsia="Calibri"/>
                <w:color w:val="000000"/>
                <w:sz w:val="16"/>
                <w:szCs w:val="16"/>
                <w:lang w:val="tr-TR"/>
              </w:rPr>
            </w:pPr>
            <w:r w:rsidRPr="00293BE0">
              <w:rPr>
                <w:rFonts w:eastAsia="Calibri"/>
                <w:color w:val="000000"/>
                <w:sz w:val="16"/>
                <w:szCs w:val="16"/>
                <w:lang w:val="tr-TR"/>
              </w:rPr>
              <w:t>81.587</w:t>
            </w:r>
          </w:p>
        </w:tc>
        <w:tc>
          <w:tcPr>
            <w:tcW w:w="709" w:type="dxa"/>
            <w:tcBorders>
              <w:bottom w:val="single" w:sz="4" w:space="0" w:color="auto"/>
            </w:tcBorders>
            <w:vAlign w:val="center"/>
          </w:tcPr>
          <w:p w14:paraId="37822B3F" w14:textId="77777777" w:rsidR="00293BE0" w:rsidRPr="00293BE0" w:rsidRDefault="00293BE0" w:rsidP="00293BE0">
            <w:pPr>
              <w:contextualSpacing/>
              <w:jc w:val="both"/>
              <w:rPr>
                <w:rFonts w:eastAsia="Calibri"/>
                <w:color w:val="000000"/>
                <w:sz w:val="16"/>
                <w:szCs w:val="16"/>
                <w:lang w:val="tr-TR"/>
              </w:rPr>
            </w:pPr>
            <w:r w:rsidRPr="00293BE0">
              <w:rPr>
                <w:rFonts w:eastAsia="Calibri"/>
                <w:color w:val="000000"/>
                <w:sz w:val="16"/>
                <w:szCs w:val="16"/>
                <w:lang w:val="tr-TR"/>
              </w:rPr>
              <w:t>12.517</w:t>
            </w:r>
          </w:p>
        </w:tc>
        <w:tc>
          <w:tcPr>
            <w:tcW w:w="850" w:type="dxa"/>
            <w:tcBorders>
              <w:bottom w:val="single" w:sz="4" w:space="0" w:color="auto"/>
            </w:tcBorders>
            <w:vAlign w:val="center"/>
          </w:tcPr>
          <w:p w14:paraId="17C1DD5E" w14:textId="77777777" w:rsidR="00293BE0" w:rsidRPr="00293BE0" w:rsidRDefault="00293BE0" w:rsidP="00293BE0">
            <w:pPr>
              <w:contextualSpacing/>
              <w:jc w:val="both"/>
              <w:rPr>
                <w:rFonts w:eastAsia="Calibri"/>
                <w:color w:val="000000"/>
                <w:sz w:val="16"/>
                <w:szCs w:val="16"/>
                <w:lang w:val="tr-TR"/>
              </w:rPr>
            </w:pPr>
            <w:r w:rsidRPr="00293BE0">
              <w:rPr>
                <w:rFonts w:eastAsia="Calibri"/>
                <w:color w:val="000000"/>
                <w:sz w:val="16"/>
                <w:szCs w:val="16"/>
                <w:lang w:val="tr-TR"/>
              </w:rPr>
              <w:t>.029*</w:t>
            </w:r>
          </w:p>
        </w:tc>
      </w:tr>
    </w:tbl>
    <w:p w14:paraId="170721F5" w14:textId="77777777" w:rsidR="00293BE0" w:rsidRPr="00293BE0" w:rsidRDefault="00293BE0" w:rsidP="00293BE0">
      <w:pPr>
        <w:jc w:val="both"/>
        <w:rPr>
          <w:color w:val="000000"/>
          <w:sz w:val="16"/>
          <w:szCs w:val="16"/>
          <w:lang w:val="en-GB" w:eastAsia="en-GB"/>
        </w:rPr>
      </w:pPr>
      <w:r w:rsidRPr="00293BE0">
        <w:rPr>
          <w:color w:val="000000"/>
          <w:lang w:val="en-GB" w:eastAsia="en-GB"/>
        </w:rPr>
        <w:t xml:space="preserve">                  </w:t>
      </w:r>
      <w:r w:rsidRPr="00293BE0">
        <w:rPr>
          <w:color w:val="000000"/>
          <w:sz w:val="16"/>
          <w:szCs w:val="16"/>
          <w:lang w:val="en-GB" w:eastAsia="en-GB"/>
        </w:rPr>
        <w:t>*p&lt;.05</w:t>
      </w:r>
    </w:p>
    <w:p w14:paraId="07AE6AC8" w14:textId="77777777" w:rsidR="00293BE0" w:rsidRPr="00293BE0" w:rsidRDefault="00293BE0" w:rsidP="00293BE0">
      <w:pPr>
        <w:jc w:val="both"/>
        <w:rPr>
          <w:lang w:val="en-GB" w:eastAsia="en-GB"/>
        </w:rPr>
      </w:pPr>
    </w:p>
    <w:p w14:paraId="494325AA" w14:textId="77777777" w:rsidR="00293BE0" w:rsidRPr="00293BE0" w:rsidRDefault="00293BE0" w:rsidP="00293BE0">
      <w:pPr>
        <w:ind w:firstLine="720"/>
        <w:jc w:val="both"/>
        <w:rPr>
          <w:lang w:val="en-GB" w:eastAsia="en-GB"/>
        </w:rPr>
      </w:pPr>
      <w:r w:rsidRPr="00293BE0">
        <w:rPr>
          <w:lang w:val="en-GB" w:eastAsia="en-GB"/>
        </w:rPr>
        <w:t xml:space="preserve">When Table 3 was examined, a significant difference was found between the total score averages of the social acceptance scale sub-scales "student behaviour" subscale and "social acceptance scale" according to the income level of the students with normal development. Middle-income students have higher social acceptance levels for students with disabilities than high-income students. </w:t>
      </w:r>
    </w:p>
    <w:p w14:paraId="3008CEA3" w14:textId="77777777" w:rsidR="00293BE0" w:rsidRPr="00293BE0" w:rsidRDefault="00293BE0" w:rsidP="00293BE0">
      <w:pPr>
        <w:jc w:val="both"/>
        <w:rPr>
          <w:b/>
          <w:bCs/>
          <w:lang w:val="en-GB" w:eastAsia="en-GB"/>
        </w:rPr>
      </w:pPr>
    </w:p>
    <w:p w14:paraId="5CEC21EC" w14:textId="77777777" w:rsidR="00293BE0" w:rsidRPr="00293BE0" w:rsidRDefault="00293BE0" w:rsidP="00293BE0">
      <w:pPr>
        <w:jc w:val="center"/>
        <w:rPr>
          <w:lang w:val="en-GB" w:eastAsia="en-GB"/>
        </w:rPr>
      </w:pPr>
      <w:r w:rsidRPr="00293BE0">
        <w:rPr>
          <w:bCs/>
          <w:lang w:val="en-GB" w:eastAsia="en-GB"/>
        </w:rPr>
        <w:t xml:space="preserve">Table 4. </w:t>
      </w:r>
      <w:r w:rsidRPr="00293BE0">
        <w:rPr>
          <w:lang w:val="en-GB" w:eastAsia="en-GB"/>
        </w:rPr>
        <w:t>Social acceptance scale and subscale analysis according to whether there is a family member with special needs or not</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09"/>
        <w:gridCol w:w="646"/>
        <w:gridCol w:w="656"/>
        <w:gridCol w:w="686"/>
        <w:gridCol w:w="847"/>
      </w:tblGrid>
      <w:tr w:rsidR="00293BE0" w:rsidRPr="00293BE0" w14:paraId="245F581D" w14:textId="77777777" w:rsidTr="00CD16A2">
        <w:trPr>
          <w:jc w:val="center"/>
        </w:trPr>
        <w:tc>
          <w:tcPr>
            <w:tcW w:w="1696" w:type="dxa"/>
            <w:tcBorders>
              <w:top w:val="single" w:sz="4" w:space="0" w:color="auto"/>
            </w:tcBorders>
          </w:tcPr>
          <w:p w14:paraId="69DE4B59" w14:textId="77777777" w:rsidR="00293BE0" w:rsidRPr="00293BE0" w:rsidRDefault="00293BE0" w:rsidP="00293BE0">
            <w:pPr>
              <w:rPr>
                <w:sz w:val="16"/>
                <w:szCs w:val="16"/>
              </w:rPr>
            </w:pPr>
            <w:r w:rsidRPr="00293BE0">
              <w:rPr>
                <w:rFonts w:eastAsia="Calibri"/>
                <w:color w:val="000000"/>
                <w:sz w:val="16"/>
                <w:szCs w:val="16"/>
                <w:lang w:val="tr-TR" w:bidi="th-TH"/>
              </w:rPr>
              <w:t>Dependent Variables</w:t>
            </w:r>
          </w:p>
        </w:tc>
        <w:tc>
          <w:tcPr>
            <w:tcW w:w="2697" w:type="dxa"/>
            <w:gridSpan w:val="4"/>
            <w:tcBorders>
              <w:top w:val="single" w:sz="4" w:space="0" w:color="auto"/>
            </w:tcBorders>
          </w:tcPr>
          <w:p w14:paraId="0FFD95C3" w14:textId="77777777" w:rsidR="00293BE0" w:rsidRPr="00293BE0" w:rsidRDefault="00293BE0" w:rsidP="00293BE0">
            <w:pPr>
              <w:jc w:val="center"/>
              <w:rPr>
                <w:sz w:val="16"/>
                <w:szCs w:val="16"/>
              </w:rPr>
            </w:pPr>
            <w:r w:rsidRPr="00293BE0">
              <w:rPr>
                <w:sz w:val="16"/>
                <w:szCs w:val="16"/>
              </w:rPr>
              <w:t>Family Member With Special Needs or Not</w:t>
            </w:r>
          </w:p>
        </w:tc>
        <w:tc>
          <w:tcPr>
            <w:tcW w:w="847" w:type="dxa"/>
            <w:vMerge w:val="restart"/>
            <w:tcBorders>
              <w:top w:val="single" w:sz="4" w:space="0" w:color="auto"/>
            </w:tcBorders>
          </w:tcPr>
          <w:p w14:paraId="0E671A0F" w14:textId="77777777" w:rsidR="00293BE0" w:rsidRPr="00293BE0" w:rsidRDefault="00293BE0" w:rsidP="00293BE0">
            <w:pPr>
              <w:rPr>
                <w:sz w:val="16"/>
                <w:szCs w:val="16"/>
              </w:rPr>
            </w:pPr>
            <w:r w:rsidRPr="00293BE0">
              <w:rPr>
                <w:color w:val="000000"/>
                <w:sz w:val="16"/>
                <w:szCs w:val="16"/>
              </w:rPr>
              <w:t>P-Value (Sig.)</w:t>
            </w:r>
          </w:p>
        </w:tc>
      </w:tr>
      <w:tr w:rsidR="00293BE0" w:rsidRPr="00293BE0" w14:paraId="5E1E9331" w14:textId="77777777" w:rsidTr="00CD16A2">
        <w:trPr>
          <w:trHeight w:val="53"/>
          <w:jc w:val="center"/>
        </w:trPr>
        <w:tc>
          <w:tcPr>
            <w:tcW w:w="1696" w:type="dxa"/>
          </w:tcPr>
          <w:p w14:paraId="78C41FE2" w14:textId="77777777" w:rsidR="00293BE0" w:rsidRPr="00293BE0" w:rsidRDefault="00293BE0" w:rsidP="00293BE0">
            <w:pPr>
              <w:rPr>
                <w:sz w:val="16"/>
                <w:szCs w:val="16"/>
              </w:rPr>
            </w:pPr>
          </w:p>
        </w:tc>
        <w:tc>
          <w:tcPr>
            <w:tcW w:w="1355" w:type="dxa"/>
            <w:gridSpan w:val="2"/>
          </w:tcPr>
          <w:p w14:paraId="170808A8" w14:textId="77777777" w:rsidR="00293BE0" w:rsidRPr="00293BE0" w:rsidRDefault="00293BE0" w:rsidP="00293BE0">
            <w:pPr>
              <w:contextualSpacing/>
              <w:jc w:val="center"/>
              <w:rPr>
                <w:rFonts w:eastAsia="Calibri"/>
                <w:color w:val="000000"/>
                <w:sz w:val="16"/>
                <w:szCs w:val="16"/>
                <w:lang w:val="tr-TR"/>
              </w:rPr>
            </w:pPr>
            <w:r w:rsidRPr="00293BE0">
              <w:rPr>
                <w:rFonts w:eastAsia="Calibri"/>
                <w:color w:val="000000"/>
                <w:sz w:val="16"/>
                <w:szCs w:val="16"/>
                <w:lang w:val="tr-TR"/>
              </w:rPr>
              <w:t>Yes</w:t>
            </w:r>
          </w:p>
        </w:tc>
        <w:tc>
          <w:tcPr>
            <w:tcW w:w="1342" w:type="dxa"/>
            <w:gridSpan w:val="2"/>
          </w:tcPr>
          <w:p w14:paraId="2A40C9B5" w14:textId="77777777" w:rsidR="00293BE0" w:rsidRPr="00293BE0" w:rsidRDefault="00293BE0" w:rsidP="00293BE0">
            <w:pPr>
              <w:contextualSpacing/>
              <w:jc w:val="center"/>
              <w:rPr>
                <w:rFonts w:eastAsia="Calibri"/>
                <w:color w:val="000000"/>
                <w:sz w:val="16"/>
                <w:szCs w:val="16"/>
                <w:lang w:val="tr-TR"/>
              </w:rPr>
            </w:pPr>
            <w:r w:rsidRPr="00293BE0">
              <w:rPr>
                <w:rFonts w:eastAsia="Calibri"/>
                <w:color w:val="000000"/>
                <w:sz w:val="16"/>
                <w:szCs w:val="16"/>
                <w:lang w:val="tr-TR"/>
              </w:rPr>
              <w:t>No</w:t>
            </w:r>
          </w:p>
        </w:tc>
        <w:tc>
          <w:tcPr>
            <w:tcW w:w="847" w:type="dxa"/>
            <w:vMerge/>
          </w:tcPr>
          <w:p w14:paraId="1286F2D5" w14:textId="77777777" w:rsidR="00293BE0" w:rsidRPr="00293BE0" w:rsidRDefault="00293BE0" w:rsidP="00293BE0">
            <w:pPr>
              <w:rPr>
                <w:sz w:val="16"/>
                <w:szCs w:val="16"/>
              </w:rPr>
            </w:pPr>
          </w:p>
        </w:tc>
      </w:tr>
      <w:tr w:rsidR="00293BE0" w:rsidRPr="00293BE0" w14:paraId="75A033C2" w14:textId="77777777" w:rsidTr="00CD16A2">
        <w:trPr>
          <w:jc w:val="center"/>
        </w:trPr>
        <w:tc>
          <w:tcPr>
            <w:tcW w:w="1696" w:type="dxa"/>
            <w:tcBorders>
              <w:bottom w:val="single" w:sz="4" w:space="0" w:color="auto"/>
            </w:tcBorders>
          </w:tcPr>
          <w:p w14:paraId="5601B962" w14:textId="77777777" w:rsidR="00293BE0" w:rsidRPr="00293BE0" w:rsidRDefault="00293BE0" w:rsidP="00293BE0">
            <w:pPr>
              <w:rPr>
                <w:sz w:val="16"/>
                <w:szCs w:val="16"/>
              </w:rPr>
            </w:pPr>
          </w:p>
        </w:tc>
        <w:tc>
          <w:tcPr>
            <w:tcW w:w="709" w:type="dxa"/>
            <w:tcBorders>
              <w:bottom w:val="single" w:sz="4" w:space="0" w:color="auto"/>
            </w:tcBorders>
          </w:tcPr>
          <w:p w14:paraId="1B31C4BD" w14:textId="77777777" w:rsidR="00293BE0" w:rsidRPr="00293BE0" w:rsidRDefault="00293BE0" w:rsidP="00293BE0">
            <w:pPr>
              <w:ind w:left="-108"/>
              <w:contextualSpacing/>
              <w:jc w:val="center"/>
              <w:rPr>
                <w:rFonts w:eastAsia="Calibri"/>
                <w:color w:val="000000"/>
                <w:sz w:val="16"/>
                <w:szCs w:val="16"/>
                <w:lang w:val="tr-TR"/>
              </w:rPr>
            </w:pPr>
            <w:r w:rsidRPr="00293BE0">
              <w:rPr>
                <w:rFonts w:eastAsia="Calibri"/>
                <w:color w:val="000000"/>
                <w:sz w:val="16"/>
                <w:szCs w:val="16"/>
                <w:lang w:val="tr-TR"/>
              </w:rPr>
              <w:t>Mean</w:t>
            </w:r>
          </w:p>
        </w:tc>
        <w:tc>
          <w:tcPr>
            <w:tcW w:w="646" w:type="dxa"/>
            <w:tcBorders>
              <w:bottom w:val="single" w:sz="4" w:space="0" w:color="auto"/>
            </w:tcBorders>
          </w:tcPr>
          <w:p w14:paraId="5F553BDC" w14:textId="77777777" w:rsidR="00293BE0" w:rsidRPr="00293BE0" w:rsidRDefault="00293BE0" w:rsidP="00293BE0">
            <w:pPr>
              <w:ind w:left="-108"/>
              <w:contextualSpacing/>
              <w:jc w:val="center"/>
              <w:rPr>
                <w:rFonts w:eastAsia="Calibri"/>
                <w:color w:val="000000"/>
                <w:sz w:val="16"/>
                <w:szCs w:val="16"/>
                <w:lang w:val="tr-TR"/>
              </w:rPr>
            </w:pPr>
            <w:r w:rsidRPr="00293BE0">
              <w:rPr>
                <w:rFonts w:eastAsia="Calibri"/>
                <w:color w:val="000000"/>
                <w:sz w:val="16"/>
                <w:szCs w:val="16"/>
                <w:lang w:val="tr-TR"/>
              </w:rPr>
              <w:t>Std.Dev</w:t>
            </w:r>
          </w:p>
        </w:tc>
        <w:tc>
          <w:tcPr>
            <w:tcW w:w="656" w:type="dxa"/>
            <w:tcBorders>
              <w:bottom w:val="single" w:sz="4" w:space="0" w:color="auto"/>
            </w:tcBorders>
          </w:tcPr>
          <w:p w14:paraId="63E63F69" w14:textId="77777777" w:rsidR="00293BE0" w:rsidRPr="00293BE0" w:rsidRDefault="00293BE0" w:rsidP="00293BE0">
            <w:pPr>
              <w:ind w:left="-108"/>
              <w:contextualSpacing/>
              <w:jc w:val="center"/>
              <w:rPr>
                <w:rFonts w:eastAsia="Calibri"/>
                <w:color w:val="000000"/>
                <w:sz w:val="16"/>
                <w:szCs w:val="16"/>
                <w:lang w:val="tr-TR"/>
              </w:rPr>
            </w:pPr>
            <w:r w:rsidRPr="00293BE0">
              <w:rPr>
                <w:rFonts w:eastAsia="Calibri"/>
                <w:color w:val="000000"/>
                <w:sz w:val="16"/>
                <w:szCs w:val="16"/>
                <w:lang w:val="tr-TR"/>
              </w:rPr>
              <w:t>Mean</w:t>
            </w:r>
          </w:p>
        </w:tc>
        <w:tc>
          <w:tcPr>
            <w:tcW w:w="686" w:type="dxa"/>
            <w:tcBorders>
              <w:bottom w:val="single" w:sz="4" w:space="0" w:color="auto"/>
            </w:tcBorders>
          </w:tcPr>
          <w:p w14:paraId="131B8CD8" w14:textId="77777777" w:rsidR="00293BE0" w:rsidRPr="00293BE0" w:rsidRDefault="00293BE0" w:rsidP="00293BE0">
            <w:pPr>
              <w:ind w:left="-108"/>
              <w:contextualSpacing/>
              <w:jc w:val="center"/>
              <w:rPr>
                <w:rFonts w:eastAsia="Calibri"/>
                <w:color w:val="000000"/>
                <w:sz w:val="16"/>
                <w:szCs w:val="16"/>
                <w:lang w:val="tr-TR"/>
              </w:rPr>
            </w:pPr>
            <w:r w:rsidRPr="00293BE0">
              <w:rPr>
                <w:rFonts w:eastAsia="Calibri"/>
                <w:color w:val="000000"/>
                <w:sz w:val="16"/>
                <w:szCs w:val="16"/>
                <w:lang w:val="tr-TR"/>
              </w:rPr>
              <w:t>Std.Dev.</w:t>
            </w:r>
          </w:p>
        </w:tc>
        <w:tc>
          <w:tcPr>
            <w:tcW w:w="847" w:type="dxa"/>
            <w:tcBorders>
              <w:bottom w:val="single" w:sz="4" w:space="0" w:color="auto"/>
            </w:tcBorders>
          </w:tcPr>
          <w:p w14:paraId="22F6EAF3" w14:textId="77777777" w:rsidR="00293BE0" w:rsidRPr="00293BE0" w:rsidRDefault="00293BE0" w:rsidP="00293BE0">
            <w:pPr>
              <w:contextualSpacing/>
              <w:rPr>
                <w:rFonts w:eastAsia="Calibri"/>
                <w:color w:val="000000"/>
                <w:sz w:val="16"/>
                <w:szCs w:val="16"/>
                <w:lang w:val="tr-TR"/>
              </w:rPr>
            </w:pPr>
          </w:p>
        </w:tc>
      </w:tr>
      <w:tr w:rsidR="00293BE0" w:rsidRPr="00293BE0" w14:paraId="451EF4B0" w14:textId="77777777" w:rsidTr="00CD16A2">
        <w:trPr>
          <w:trHeight w:val="78"/>
          <w:jc w:val="center"/>
        </w:trPr>
        <w:tc>
          <w:tcPr>
            <w:tcW w:w="1696" w:type="dxa"/>
            <w:tcBorders>
              <w:top w:val="single" w:sz="4" w:space="0" w:color="auto"/>
            </w:tcBorders>
            <w:vAlign w:val="center"/>
          </w:tcPr>
          <w:p w14:paraId="1DEE7E42" w14:textId="77777777" w:rsidR="00293BE0" w:rsidRPr="00293BE0" w:rsidRDefault="00293BE0" w:rsidP="00293BE0">
            <w:pPr>
              <w:ind w:left="-89"/>
              <w:rPr>
                <w:color w:val="000000"/>
                <w:sz w:val="16"/>
                <w:szCs w:val="16"/>
              </w:rPr>
            </w:pPr>
            <w:r w:rsidRPr="00293BE0">
              <w:rPr>
                <w:sz w:val="16"/>
                <w:szCs w:val="16"/>
              </w:rPr>
              <w:t>Social Acceptance</w:t>
            </w:r>
          </w:p>
        </w:tc>
        <w:tc>
          <w:tcPr>
            <w:tcW w:w="709" w:type="dxa"/>
            <w:tcBorders>
              <w:top w:val="single" w:sz="4" w:space="0" w:color="auto"/>
            </w:tcBorders>
            <w:vAlign w:val="center"/>
          </w:tcPr>
          <w:p w14:paraId="616E694A" w14:textId="77777777" w:rsidR="00293BE0" w:rsidRPr="00293BE0" w:rsidRDefault="00293BE0" w:rsidP="00293BE0">
            <w:pPr>
              <w:contextualSpacing/>
              <w:jc w:val="center"/>
              <w:rPr>
                <w:rFonts w:eastAsia="Calibri"/>
                <w:bCs/>
                <w:color w:val="000000"/>
                <w:sz w:val="16"/>
                <w:szCs w:val="16"/>
                <w:lang w:val="tr-TR"/>
              </w:rPr>
            </w:pPr>
            <w:r w:rsidRPr="00293BE0">
              <w:rPr>
                <w:rFonts w:eastAsia="Calibri"/>
                <w:bCs/>
                <w:color w:val="000000"/>
                <w:sz w:val="16"/>
                <w:szCs w:val="16"/>
                <w:lang w:val="tr-TR"/>
              </w:rPr>
              <w:t>41.000</w:t>
            </w:r>
          </w:p>
        </w:tc>
        <w:tc>
          <w:tcPr>
            <w:tcW w:w="646" w:type="dxa"/>
            <w:tcBorders>
              <w:top w:val="single" w:sz="4" w:space="0" w:color="auto"/>
            </w:tcBorders>
            <w:vAlign w:val="center"/>
          </w:tcPr>
          <w:p w14:paraId="63CA2861" w14:textId="77777777" w:rsidR="00293BE0" w:rsidRPr="00293BE0" w:rsidRDefault="00293BE0" w:rsidP="00293BE0">
            <w:pPr>
              <w:contextualSpacing/>
              <w:jc w:val="center"/>
              <w:rPr>
                <w:rFonts w:eastAsia="Calibri"/>
                <w:bCs/>
                <w:color w:val="000000"/>
                <w:sz w:val="16"/>
                <w:szCs w:val="16"/>
                <w:lang w:val="tr-TR"/>
              </w:rPr>
            </w:pPr>
            <w:r w:rsidRPr="00293BE0">
              <w:rPr>
                <w:rFonts w:eastAsia="Calibri"/>
                <w:bCs/>
                <w:color w:val="000000"/>
                <w:sz w:val="16"/>
                <w:szCs w:val="16"/>
                <w:lang w:val="tr-TR"/>
              </w:rPr>
              <w:t>6.144</w:t>
            </w:r>
          </w:p>
        </w:tc>
        <w:tc>
          <w:tcPr>
            <w:tcW w:w="656" w:type="dxa"/>
            <w:tcBorders>
              <w:top w:val="single" w:sz="4" w:space="0" w:color="auto"/>
            </w:tcBorders>
            <w:vAlign w:val="center"/>
          </w:tcPr>
          <w:p w14:paraId="5D7BEBAD" w14:textId="77777777" w:rsidR="00293BE0" w:rsidRPr="00293BE0" w:rsidRDefault="00293BE0" w:rsidP="00293BE0">
            <w:pPr>
              <w:contextualSpacing/>
              <w:jc w:val="center"/>
              <w:rPr>
                <w:rFonts w:eastAsia="Calibri"/>
                <w:bCs/>
                <w:color w:val="000000"/>
                <w:sz w:val="16"/>
                <w:szCs w:val="16"/>
                <w:lang w:val="tr-TR"/>
              </w:rPr>
            </w:pPr>
            <w:r w:rsidRPr="00293BE0">
              <w:rPr>
                <w:rFonts w:eastAsia="Calibri"/>
                <w:bCs/>
                <w:color w:val="000000"/>
                <w:sz w:val="16"/>
                <w:szCs w:val="16"/>
                <w:lang w:val="tr-TR"/>
              </w:rPr>
              <w:t>38.611</w:t>
            </w:r>
          </w:p>
        </w:tc>
        <w:tc>
          <w:tcPr>
            <w:tcW w:w="686" w:type="dxa"/>
            <w:tcBorders>
              <w:top w:val="single" w:sz="4" w:space="0" w:color="auto"/>
            </w:tcBorders>
            <w:vAlign w:val="center"/>
          </w:tcPr>
          <w:p w14:paraId="760D2EE6" w14:textId="77777777" w:rsidR="00293BE0" w:rsidRPr="00293BE0" w:rsidRDefault="00293BE0" w:rsidP="00293BE0">
            <w:pPr>
              <w:contextualSpacing/>
              <w:jc w:val="center"/>
              <w:rPr>
                <w:rFonts w:eastAsia="Calibri"/>
                <w:bCs/>
                <w:color w:val="000000"/>
                <w:sz w:val="16"/>
                <w:szCs w:val="16"/>
                <w:lang w:val="tr-TR"/>
              </w:rPr>
            </w:pPr>
            <w:r w:rsidRPr="00293BE0">
              <w:rPr>
                <w:rFonts w:eastAsia="Calibri"/>
                <w:bCs/>
                <w:color w:val="000000"/>
                <w:sz w:val="16"/>
                <w:szCs w:val="16"/>
                <w:lang w:val="tr-TR"/>
              </w:rPr>
              <w:t>7.628</w:t>
            </w:r>
          </w:p>
        </w:tc>
        <w:tc>
          <w:tcPr>
            <w:tcW w:w="847" w:type="dxa"/>
            <w:tcBorders>
              <w:top w:val="single" w:sz="4" w:space="0" w:color="auto"/>
            </w:tcBorders>
            <w:vAlign w:val="center"/>
          </w:tcPr>
          <w:p w14:paraId="72CD32B3" w14:textId="77777777" w:rsidR="00293BE0" w:rsidRPr="00293BE0" w:rsidRDefault="00293BE0" w:rsidP="00293BE0">
            <w:pPr>
              <w:contextualSpacing/>
              <w:jc w:val="center"/>
              <w:rPr>
                <w:rFonts w:eastAsia="Calibri"/>
                <w:bCs/>
                <w:color w:val="000000"/>
                <w:sz w:val="16"/>
                <w:szCs w:val="16"/>
                <w:lang w:val="tr-TR"/>
              </w:rPr>
            </w:pPr>
            <w:r w:rsidRPr="00293BE0">
              <w:rPr>
                <w:rFonts w:eastAsia="Calibri"/>
                <w:bCs/>
                <w:color w:val="000000"/>
                <w:sz w:val="16"/>
                <w:szCs w:val="16"/>
                <w:lang w:val="tr-TR"/>
              </w:rPr>
              <w:t>.380</w:t>
            </w:r>
          </w:p>
        </w:tc>
      </w:tr>
      <w:tr w:rsidR="00293BE0" w:rsidRPr="00293BE0" w14:paraId="37863772" w14:textId="77777777" w:rsidTr="00CD16A2">
        <w:trPr>
          <w:jc w:val="center"/>
        </w:trPr>
        <w:tc>
          <w:tcPr>
            <w:tcW w:w="1696" w:type="dxa"/>
            <w:vAlign w:val="center"/>
          </w:tcPr>
          <w:p w14:paraId="4F9DE0EC" w14:textId="77777777" w:rsidR="00293BE0" w:rsidRPr="00293BE0" w:rsidRDefault="00293BE0" w:rsidP="00293BE0">
            <w:pPr>
              <w:ind w:left="-89"/>
              <w:rPr>
                <w:color w:val="000000"/>
                <w:sz w:val="16"/>
                <w:szCs w:val="16"/>
              </w:rPr>
            </w:pPr>
            <w:r w:rsidRPr="00293BE0">
              <w:rPr>
                <w:sz w:val="16"/>
                <w:szCs w:val="16"/>
              </w:rPr>
              <w:t>Student Behaviour</w:t>
            </w:r>
          </w:p>
        </w:tc>
        <w:tc>
          <w:tcPr>
            <w:tcW w:w="709" w:type="dxa"/>
            <w:vAlign w:val="center"/>
          </w:tcPr>
          <w:p w14:paraId="76CAA788" w14:textId="77777777" w:rsidR="00293BE0" w:rsidRPr="00293BE0" w:rsidRDefault="00293BE0" w:rsidP="00293BE0">
            <w:pPr>
              <w:contextualSpacing/>
              <w:jc w:val="center"/>
              <w:rPr>
                <w:rFonts w:eastAsia="Calibri"/>
                <w:color w:val="000000"/>
                <w:sz w:val="16"/>
                <w:szCs w:val="16"/>
                <w:lang w:val="tr-TR"/>
              </w:rPr>
            </w:pPr>
            <w:r w:rsidRPr="00293BE0">
              <w:rPr>
                <w:rFonts w:eastAsia="Calibri"/>
                <w:color w:val="000000"/>
                <w:sz w:val="16"/>
                <w:szCs w:val="16"/>
                <w:lang w:val="tr-TR"/>
              </w:rPr>
              <w:t>26.111</w:t>
            </w:r>
          </w:p>
        </w:tc>
        <w:tc>
          <w:tcPr>
            <w:tcW w:w="646" w:type="dxa"/>
            <w:vAlign w:val="center"/>
          </w:tcPr>
          <w:p w14:paraId="5789F887" w14:textId="77777777" w:rsidR="00293BE0" w:rsidRPr="00293BE0" w:rsidRDefault="00293BE0" w:rsidP="00293BE0">
            <w:pPr>
              <w:contextualSpacing/>
              <w:jc w:val="center"/>
              <w:rPr>
                <w:rFonts w:eastAsia="Calibri"/>
                <w:color w:val="000000"/>
                <w:sz w:val="16"/>
                <w:szCs w:val="16"/>
                <w:lang w:val="tr-TR"/>
              </w:rPr>
            </w:pPr>
            <w:r w:rsidRPr="00293BE0">
              <w:rPr>
                <w:rFonts w:eastAsia="Calibri"/>
                <w:color w:val="000000"/>
                <w:sz w:val="16"/>
                <w:szCs w:val="16"/>
                <w:lang w:val="tr-TR"/>
              </w:rPr>
              <w:t>1.833</w:t>
            </w:r>
          </w:p>
        </w:tc>
        <w:tc>
          <w:tcPr>
            <w:tcW w:w="656" w:type="dxa"/>
            <w:vAlign w:val="center"/>
          </w:tcPr>
          <w:p w14:paraId="63103113" w14:textId="77777777" w:rsidR="00293BE0" w:rsidRPr="00293BE0" w:rsidRDefault="00293BE0" w:rsidP="00293BE0">
            <w:pPr>
              <w:contextualSpacing/>
              <w:jc w:val="center"/>
              <w:rPr>
                <w:rFonts w:eastAsia="Calibri"/>
                <w:color w:val="000000"/>
                <w:sz w:val="16"/>
                <w:szCs w:val="16"/>
                <w:lang w:val="tr-TR"/>
              </w:rPr>
            </w:pPr>
            <w:r w:rsidRPr="00293BE0">
              <w:rPr>
                <w:rFonts w:eastAsia="Calibri"/>
                <w:color w:val="000000"/>
                <w:sz w:val="16"/>
                <w:szCs w:val="16"/>
                <w:lang w:val="tr-TR"/>
              </w:rPr>
              <w:t>25.402</w:t>
            </w:r>
          </w:p>
        </w:tc>
        <w:tc>
          <w:tcPr>
            <w:tcW w:w="686" w:type="dxa"/>
            <w:vAlign w:val="center"/>
          </w:tcPr>
          <w:p w14:paraId="7F37A487" w14:textId="77777777" w:rsidR="00293BE0" w:rsidRPr="00293BE0" w:rsidRDefault="00293BE0" w:rsidP="00293BE0">
            <w:pPr>
              <w:contextualSpacing/>
              <w:jc w:val="center"/>
              <w:rPr>
                <w:rFonts w:eastAsia="Calibri"/>
                <w:color w:val="000000"/>
                <w:sz w:val="16"/>
                <w:szCs w:val="16"/>
                <w:lang w:val="tr-TR"/>
              </w:rPr>
            </w:pPr>
            <w:r w:rsidRPr="00293BE0">
              <w:rPr>
                <w:rFonts w:eastAsia="Calibri"/>
                <w:color w:val="000000"/>
                <w:sz w:val="16"/>
                <w:szCs w:val="16"/>
                <w:lang w:val="tr-TR"/>
              </w:rPr>
              <w:t>2.651</w:t>
            </w:r>
          </w:p>
        </w:tc>
        <w:tc>
          <w:tcPr>
            <w:tcW w:w="847" w:type="dxa"/>
            <w:vAlign w:val="center"/>
          </w:tcPr>
          <w:p w14:paraId="14AFCE33" w14:textId="77777777" w:rsidR="00293BE0" w:rsidRPr="00293BE0" w:rsidRDefault="00293BE0" w:rsidP="00293BE0">
            <w:pPr>
              <w:contextualSpacing/>
              <w:jc w:val="center"/>
              <w:rPr>
                <w:rFonts w:eastAsia="Calibri"/>
                <w:color w:val="000000"/>
                <w:sz w:val="16"/>
                <w:szCs w:val="16"/>
                <w:lang w:val="tr-TR"/>
              </w:rPr>
            </w:pPr>
            <w:r w:rsidRPr="00293BE0">
              <w:rPr>
                <w:rFonts w:eastAsia="Calibri"/>
                <w:color w:val="000000"/>
                <w:sz w:val="16"/>
                <w:szCs w:val="16"/>
                <w:lang w:val="tr-TR"/>
              </w:rPr>
              <w:t>.186</w:t>
            </w:r>
          </w:p>
        </w:tc>
      </w:tr>
      <w:tr w:rsidR="00293BE0" w:rsidRPr="00293BE0" w14:paraId="6B5B5EDF" w14:textId="77777777" w:rsidTr="00CD16A2">
        <w:trPr>
          <w:trHeight w:val="113"/>
          <w:jc w:val="center"/>
        </w:trPr>
        <w:tc>
          <w:tcPr>
            <w:tcW w:w="1696" w:type="dxa"/>
            <w:vAlign w:val="center"/>
          </w:tcPr>
          <w:p w14:paraId="3309DDBE" w14:textId="77777777" w:rsidR="00293BE0" w:rsidRPr="00293BE0" w:rsidRDefault="00293BE0" w:rsidP="00293BE0">
            <w:pPr>
              <w:ind w:left="-89"/>
              <w:rPr>
                <w:color w:val="000000"/>
                <w:sz w:val="16"/>
                <w:szCs w:val="16"/>
              </w:rPr>
            </w:pPr>
            <w:r w:rsidRPr="00293BE0">
              <w:rPr>
                <w:sz w:val="16"/>
                <w:szCs w:val="16"/>
              </w:rPr>
              <w:t>Peer Attitude</w:t>
            </w:r>
          </w:p>
        </w:tc>
        <w:tc>
          <w:tcPr>
            <w:tcW w:w="709" w:type="dxa"/>
            <w:vAlign w:val="center"/>
          </w:tcPr>
          <w:p w14:paraId="1C8C86E3" w14:textId="77777777" w:rsidR="00293BE0" w:rsidRPr="00293BE0" w:rsidRDefault="00293BE0" w:rsidP="00293BE0">
            <w:pPr>
              <w:contextualSpacing/>
              <w:jc w:val="center"/>
              <w:rPr>
                <w:rFonts w:eastAsia="Calibri"/>
                <w:color w:val="000000"/>
                <w:sz w:val="16"/>
                <w:szCs w:val="16"/>
                <w:lang w:val="tr-TR"/>
              </w:rPr>
            </w:pPr>
            <w:r w:rsidRPr="00293BE0">
              <w:rPr>
                <w:rFonts w:eastAsia="Calibri"/>
                <w:color w:val="000000"/>
                <w:sz w:val="16"/>
                <w:szCs w:val="16"/>
                <w:lang w:val="tr-TR"/>
              </w:rPr>
              <w:t>19.666</w:t>
            </w:r>
          </w:p>
        </w:tc>
        <w:tc>
          <w:tcPr>
            <w:tcW w:w="646" w:type="dxa"/>
            <w:vAlign w:val="center"/>
          </w:tcPr>
          <w:p w14:paraId="561F632B" w14:textId="77777777" w:rsidR="00293BE0" w:rsidRPr="00293BE0" w:rsidRDefault="00293BE0" w:rsidP="00293BE0">
            <w:pPr>
              <w:contextualSpacing/>
              <w:jc w:val="center"/>
              <w:rPr>
                <w:rFonts w:eastAsia="Calibri"/>
                <w:color w:val="000000"/>
                <w:sz w:val="16"/>
                <w:szCs w:val="16"/>
                <w:lang w:val="tr-TR"/>
              </w:rPr>
            </w:pPr>
            <w:r w:rsidRPr="00293BE0">
              <w:rPr>
                <w:rFonts w:eastAsia="Calibri"/>
                <w:color w:val="000000"/>
                <w:sz w:val="16"/>
                <w:szCs w:val="16"/>
                <w:lang w:val="tr-TR"/>
              </w:rPr>
              <w:t>1.322</w:t>
            </w:r>
          </w:p>
        </w:tc>
        <w:tc>
          <w:tcPr>
            <w:tcW w:w="656" w:type="dxa"/>
            <w:vAlign w:val="center"/>
          </w:tcPr>
          <w:p w14:paraId="0D2C4503" w14:textId="77777777" w:rsidR="00293BE0" w:rsidRPr="00293BE0" w:rsidRDefault="00293BE0" w:rsidP="00293BE0">
            <w:pPr>
              <w:contextualSpacing/>
              <w:jc w:val="center"/>
              <w:rPr>
                <w:rFonts w:eastAsia="Calibri"/>
                <w:color w:val="000000"/>
                <w:sz w:val="16"/>
                <w:szCs w:val="16"/>
                <w:lang w:val="tr-TR"/>
              </w:rPr>
            </w:pPr>
            <w:r w:rsidRPr="00293BE0">
              <w:rPr>
                <w:rFonts w:eastAsia="Calibri"/>
                <w:color w:val="000000"/>
                <w:sz w:val="16"/>
                <w:szCs w:val="16"/>
                <w:lang w:val="tr-TR"/>
              </w:rPr>
              <w:t>18.857</w:t>
            </w:r>
          </w:p>
        </w:tc>
        <w:tc>
          <w:tcPr>
            <w:tcW w:w="686" w:type="dxa"/>
            <w:vAlign w:val="center"/>
          </w:tcPr>
          <w:p w14:paraId="76603624" w14:textId="77777777" w:rsidR="00293BE0" w:rsidRPr="00293BE0" w:rsidRDefault="00293BE0" w:rsidP="00293BE0">
            <w:pPr>
              <w:contextualSpacing/>
              <w:jc w:val="center"/>
              <w:rPr>
                <w:rFonts w:eastAsia="Calibri"/>
                <w:color w:val="000000"/>
                <w:sz w:val="16"/>
                <w:szCs w:val="16"/>
                <w:lang w:val="tr-TR"/>
              </w:rPr>
            </w:pPr>
            <w:r w:rsidRPr="00293BE0">
              <w:rPr>
                <w:rFonts w:eastAsia="Calibri"/>
                <w:color w:val="000000"/>
                <w:sz w:val="16"/>
                <w:szCs w:val="16"/>
                <w:lang w:val="tr-TR"/>
              </w:rPr>
              <w:t>2.350</w:t>
            </w:r>
          </w:p>
        </w:tc>
        <w:tc>
          <w:tcPr>
            <w:tcW w:w="847" w:type="dxa"/>
            <w:vAlign w:val="center"/>
          </w:tcPr>
          <w:p w14:paraId="6409E9CE" w14:textId="77777777" w:rsidR="00293BE0" w:rsidRPr="00293BE0" w:rsidRDefault="00293BE0" w:rsidP="00293BE0">
            <w:pPr>
              <w:contextualSpacing/>
              <w:jc w:val="center"/>
              <w:rPr>
                <w:rFonts w:eastAsia="Calibri"/>
                <w:color w:val="000000"/>
                <w:sz w:val="16"/>
                <w:szCs w:val="16"/>
                <w:lang w:val="tr-TR"/>
              </w:rPr>
            </w:pPr>
            <w:r w:rsidRPr="00293BE0">
              <w:rPr>
                <w:rFonts w:eastAsia="Calibri"/>
                <w:color w:val="000000"/>
                <w:sz w:val="16"/>
                <w:szCs w:val="16"/>
                <w:lang w:val="tr-TR"/>
              </w:rPr>
              <w:t>.408</w:t>
            </w:r>
          </w:p>
        </w:tc>
      </w:tr>
      <w:tr w:rsidR="00293BE0" w:rsidRPr="00293BE0" w14:paraId="279E9442" w14:textId="77777777" w:rsidTr="00CD16A2">
        <w:trPr>
          <w:jc w:val="center"/>
        </w:trPr>
        <w:tc>
          <w:tcPr>
            <w:tcW w:w="1696" w:type="dxa"/>
            <w:tcBorders>
              <w:bottom w:val="single" w:sz="4" w:space="0" w:color="auto"/>
            </w:tcBorders>
            <w:vAlign w:val="center"/>
          </w:tcPr>
          <w:p w14:paraId="2B538574" w14:textId="77777777" w:rsidR="00293BE0" w:rsidRPr="00293BE0" w:rsidRDefault="00293BE0" w:rsidP="00293BE0">
            <w:pPr>
              <w:ind w:left="-89"/>
              <w:contextualSpacing/>
              <w:rPr>
                <w:rFonts w:eastAsia="Calibri"/>
                <w:color w:val="000000"/>
                <w:sz w:val="16"/>
                <w:szCs w:val="16"/>
                <w:lang w:val="tr-TR"/>
              </w:rPr>
            </w:pPr>
            <w:r w:rsidRPr="00293BE0">
              <w:rPr>
                <w:rFonts w:eastAsia="Calibri"/>
                <w:sz w:val="16"/>
                <w:szCs w:val="16"/>
              </w:rPr>
              <w:t>Social Acceptance Scale</w:t>
            </w:r>
          </w:p>
        </w:tc>
        <w:tc>
          <w:tcPr>
            <w:tcW w:w="709" w:type="dxa"/>
            <w:tcBorders>
              <w:bottom w:val="single" w:sz="4" w:space="0" w:color="auto"/>
            </w:tcBorders>
            <w:vAlign w:val="center"/>
          </w:tcPr>
          <w:p w14:paraId="3E33711B" w14:textId="77777777" w:rsidR="00293BE0" w:rsidRPr="00293BE0" w:rsidRDefault="00293BE0" w:rsidP="00293BE0">
            <w:pPr>
              <w:contextualSpacing/>
              <w:jc w:val="center"/>
              <w:rPr>
                <w:rFonts w:eastAsia="Calibri"/>
                <w:color w:val="000000"/>
                <w:sz w:val="16"/>
                <w:szCs w:val="16"/>
                <w:lang w:val="tr-TR"/>
              </w:rPr>
            </w:pPr>
            <w:r w:rsidRPr="00293BE0">
              <w:rPr>
                <w:rFonts w:eastAsia="Calibri"/>
                <w:color w:val="000000"/>
                <w:sz w:val="16"/>
                <w:szCs w:val="16"/>
                <w:lang w:val="tr-TR"/>
              </w:rPr>
              <w:t>86.777</w:t>
            </w:r>
          </w:p>
        </w:tc>
        <w:tc>
          <w:tcPr>
            <w:tcW w:w="646" w:type="dxa"/>
            <w:tcBorders>
              <w:bottom w:val="single" w:sz="4" w:space="0" w:color="auto"/>
            </w:tcBorders>
            <w:vAlign w:val="center"/>
          </w:tcPr>
          <w:p w14:paraId="5686FAF7" w14:textId="77777777" w:rsidR="00293BE0" w:rsidRPr="00293BE0" w:rsidRDefault="00293BE0" w:rsidP="00293BE0">
            <w:pPr>
              <w:contextualSpacing/>
              <w:jc w:val="center"/>
              <w:rPr>
                <w:rFonts w:eastAsia="Calibri"/>
                <w:color w:val="000000"/>
                <w:sz w:val="16"/>
                <w:szCs w:val="16"/>
                <w:lang w:val="tr-TR"/>
              </w:rPr>
            </w:pPr>
            <w:r w:rsidRPr="00293BE0">
              <w:rPr>
                <w:rFonts w:eastAsia="Calibri"/>
                <w:color w:val="000000"/>
                <w:sz w:val="16"/>
                <w:szCs w:val="16"/>
                <w:lang w:val="tr-TR"/>
              </w:rPr>
              <w:t>8.212</w:t>
            </w:r>
          </w:p>
        </w:tc>
        <w:tc>
          <w:tcPr>
            <w:tcW w:w="656" w:type="dxa"/>
            <w:tcBorders>
              <w:bottom w:val="single" w:sz="4" w:space="0" w:color="auto"/>
            </w:tcBorders>
            <w:vAlign w:val="center"/>
          </w:tcPr>
          <w:p w14:paraId="1356ADA0" w14:textId="77777777" w:rsidR="00293BE0" w:rsidRPr="00293BE0" w:rsidRDefault="00293BE0" w:rsidP="00293BE0">
            <w:pPr>
              <w:contextualSpacing/>
              <w:jc w:val="center"/>
              <w:rPr>
                <w:rFonts w:eastAsia="Calibri"/>
                <w:color w:val="000000"/>
                <w:sz w:val="16"/>
                <w:szCs w:val="16"/>
                <w:lang w:val="tr-TR"/>
              </w:rPr>
            </w:pPr>
            <w:r w:rsidRPr="00293BE0">
              <w:rPr>
                <w:rFonts w:eastAsia="Calibri"/>
                <w:color w:val="000000"/>
                <w:sz w:val="16"/>
                <w:szCs w:val="16"/>
                <w:lang w:val="tr-TR"/>
              </w:rPr>
              <w:t>82.872</w:t>
            </w:r>
          </w:p>
        </w:tc>
        <w:tc>
          <w:tcPr>
            <w:tcW w:w="686" w:type="dxa"/>
            <w:tcBorders>
              <w:bottom w:val="single" w:sz="4" w:space="0" w:color="auto"/>
            </w:tcBorders>
            <w:vAlign w:val="center"/>
          </w:tcPr>
          <w:p w14:paraId="7F4F8912" w14:textId="77777777" w:rsidR="00293BE0" w:rsidRPr="00293BE0" w:rsidRDefault="00293BE0" w:rsidP="00293BE0">
            <w:pPr>
              <w:contextualSpacing/>
              <w:jc w:val="center"/>
              <w:rPr>
                <w:rFonts w:eastAsia="Calibri"/>
                <w:color w:val="000000"/>
                <w:sz w:val="16"/>
                <w:szCs w:val="16"/>
                <w:lang w:val="tr-TR"/>
              </w:rPr>
            </w:pPr>
            <w:r w:rsidRPr="00293BE0">
              <w:rPr>
                <w:rFonts w:eastAsia="Calibri"/>
                <w:color w:val="000000"/>
                <w:sz w:val="16"/>
                <w:szCs w:val="16"/>
                <w:lang w:val="tr-TR"/>
              </w:rPr>
              <w:t>11.316</w:t>
            </w:r>
          </w:p>
        </w:tc>
        <w:tc>
          <w:tcPr>
            <w:tcW w:w="847" w:type="dxa"/>
            <w:tcBorders>
              <w:bottom w:val="single" w:sz="4" w:space="0" w:color="auto"/>
            </w:tcBorders>
            <w:vAlign w:val="center"/>
          </w:tcPr>
          <w:p w14:paraId="294A6F5A" w14:textId="77777777" w:rsidR="00293BE0" w:rsidRPr="00293BE0" w:rsidRDefault="00293BE0" w:rsidP="00293BE0">
            <w:pPr>
              <w:contextualSpacing/>
              <w:jc w:val="center"/>
              <w:rPr>
                <w:rFonts w:eastAsia="Calibri"/>
                <w:color w:val="000000"/>
                <w:sz w:val="16"/>
                <w:szCs w:val="16"/>
                <w:lang w:val="tr-TR"/>
              </w:rPr>
            </w:pPr>
            <w:r w:rsidRPr="00293BE0">
              <w:rPr>
                <w:rFonts w:eastAsia="Calibri"/>
                <w:color w:val="000000"/>
                <w:sz w:val="16"/>
                <w:szCs w:val="16"/>
                <w:lang w:val="tr-TR"/>
              </w:rPr>
              <w:t>.323</w:t>
            </w:r>
          </w:p>
        </w:tc>
      </w:tr>
    </w:tbl>
    <w:p w14:paraId="09AA632C" w14:textId="77777777" w:rsidR="00293BE0" w:rsidRPr="00293BE0" w:rsidRDefault="00293BE0" w:rsidP="00293BE0">
      <w:pPr>
        <w:jc w:val="both"/>
        <w:rPr>
          <w:color w:val="000000"/>
          <w:sz w:val="16"/>
          <w:szCs w:val="16"/>
          <w:lang w:val="en-GB" w:eastAsia="en-GB"/>
        </w:rPr>
      </w:pPr>
      <w:r w:rsidRPr="00293BE0">
        <w:rPr>
          <w:color w:val="000000"/>
          <w:sz w:val="16"/>
          <w:szCs w:val="16"/>
          <w:lang w:val="en-GB" w:eastAsia="en-GB"/>
        </w:rPr>
        <w:t xml:space="preserve">                                            *p&lt;.05</w:t>
      </w:r>
    </w:p>
    <w:p w14:paraId="68AB557D" w14:textId="77777777" w:rsidR="00293BE0" w:rsidRPr="00293BE0" w:rsidRDefault="00293BE0" w:rsidP="00293BE0">
      <w:pPr>
        <w:jc w:val="both"/>
        <w:rPr>
          <w:lang w:val="en-GB" w:eastAsia="en-GB"/>
        </w:rPr>
      </w:pPr>
    </w:p>
    <w:p w14:paraId="0FFB99B2" w14:textId="77777777" w:rsidR="00293BE0" w:rsidRPr="00293BE0" w:rsidRDefault="00293BE0" w:rsidP="00293BE0">
      <w:pPr>
        <w:ind w:firstLine="720"/>
        <w:jc w:val="both"/>
        <w:rPr>
          <w:lang w:val="en-GB" w:eastAsia="en-GB"/>
        </w:rPr>
      </w:pPr>
      <w:r w:rsidRPr="00293BE0">
        <w:rPr>
          <w:lang w:val="en-GB" w:eastAsia="en-GB"/>
        </w:rPr>
        <w:t>When Table 4 is examined, a significant difference was not found between the social acceptance scale and subscales mean scores of the participants with normal development according to whether there is a family member with special needs or not.</w:t>
      </w:r>
    </w:p>
    <w:p w14:paraId="4243E9C0" w14:textId="77777777" w:rsidR="00293BE0" w:rsidRPr="00293BE0" w:rsidRDefault="00293BE0" w:rsidP="00293BE0">
      <w:pPr>
        <w:jc w:val="both"/>
        <w:rPr>
          <w:bCs/>
          <w:lang w:val="en-GB" w:eastAsia="en-GB"/>
        </w:rPr>
      </w:pPr>
    </w:p>
    <w:p w14:paraId="426B4B68" w14:textId="77777777" w:rsidR="00293BE0" w:rsidRPr="00293BE0" w:rsidRDefault="00293BE0" w:rsidP="00293BE0">
      <w:pPr>
        <w:jc w:val="center"/>
        <w:rPr>
          <w:lang w:val="en-GB" w:eastAsia="en-GB"/>
        </w:rPr>
      </w:pPr>
      <w:r w:rsidRPr="00293BE0">
        <w:rPr>
          <w:bCs/>
          <w:lang w:val="en-GB" w:eastAsia="en-GB"/>
        </w:rPr>
        <w:t>Table 5</w:t>
      </w:r>
      <w:r w:rsidRPr="00293BE0">
        <w:rPr>
          <w:lang w:val="en-GB" w:eastAsia="en-GB"/>
        </w:rPr>
        <w:t>.Social acceptance scale and social acceptance subscales score average analysis according to the number of siblings of the participants</w:t>
      </w:r>
    </w:p>
    <w:tbl>
      <w:tblPr>
        <w:tblW w:w="6799" w:type="dxa"/>
        <w:jc w:val="center"/>
        <w:tblLayout w:type="fixed"/>
        <w:tblLook w:val="04A0" w:firstRow="1" w:lastRow="0" w:firstColumn="1" w:lastColumn="0" w:noHBand="0" w:noVBand="1"/>
      </w:tblPr>
      <w:tblGrid>
        <w:gridCol w:w="1696"/>
        <w:gridCol w:w="720"/>
        <w:gridCol w:w="698"/>
        <w:gridCol w:w="709"/>
        <w:gridCol w:w="708"/>
        <w:gridCol w:w="709"/>
        <w:gridCol w:w="709"/>
        <w:gridCol w:w="850"/>
      </w:tblGrid>
      <w:tr w:rsidR="00293BE0" w:rsidRPr="00293BE0" w14:paraId="640C9D8E" w14:textId="77777777" w:rsidTr="00CD16A2">
        <w:trPr>
          <w:trHeight w:val="230"/>
          <w:jc w:val="center"/>
        </w:trPr>
        <w:tc>
          <w:tcPr>
            <w:tcW w:w="1696" w:type="dxa"/>
            <w:vMerge w:val="restart"/>
            <w:tcBorders>
              <w:top w:val="single" w:sz="4" w:space="0" w:color="auto"/>
              <w:bottom w:val="single" w:sz="4" w:space="0" w:color="auto"/>
            </w:tcBorders>
          </w:tcPr>
          <w:p w14:paraId="2938BAC3" w14:textId="77777777" w:rsidR="00293BE0" w:rsidRPr="00293BE0" w:rsidRDefault="00293BE0" w:rsidP="00293BE0">
            <w:pPr>
              <w:contextualSpacing/>
              <w:jc w:val="both"/>
              <w:rPr>
                <w:rFonts w:eastAsia="Calibri"/>
                <w:color w:val="000000"/>
                <w:sz w:val="16"/>
                <w:szCs w:val="16"/>
                <w:lang w:val="tr-TR"/>
              </w:rPr>
            </w:pPr>
            <w:r w:rsidRPr="00293BE0">
              <w:rPr>
                <w:rFonts w:eastAsia="Calibri"/>
                <w:color w:val="000000"/>
                <w:sz w:val="16"/>
                <w:szCs w:val="16"/>
                <w:lang w:val="tr-TR" w:bidi="th-TH"/>
              </w:rPr>
              <w:t>Dependent Variables</w:t>
            </w:r>
          </w:p>
        </w:tc>
        <w:tc>
          <w:tcPr>
            <w:tcW w:w="4253" w:type="dxa"/>
            <w:gridSpan w:val="6"/>
            <w:tcBorders>
              <w:top w:val="single" w:sz="4" w:space="0" w:color="auto"/>
            </w:tcBorders>
            <w:vAlign w:val="center"/>
          </w:tcPr>
          <w:p w14:paraId="0061867D" w14:textId="77777777" w:rsidR="00293BE0" w:rsidRPr="00293BE0" w:rsidRDefault="00293BE0" w:rsidP="00293BE0">
            <w:pPr>
              <w:contextualSpacing/>
              <w:jc w:val="center"/>
              <w:rPr>
                <w:rFonts w:eastAsia="Calibri"/>
                <w:color w:val="000000"/>
                <w:sz w:val="16"/>
                <w:szCs w:val="16"/>
                <w:lang w:val="tr-TR"/>
              </w:rPr>
            </w:pPr>
            <w:r w:rsidRPr="00293BE0">
              <w:rPr>
                <w:rFonts w:eastAsia="Calibri"/>
                <w:color w:val="000000"/>
                <w:sz w:val="16"/>
                <w:szCs w:val="16"/>
                <w:lang w:val="tr-TR"/>
              </w:rPr>
              <w:t>Number of siblings</w:t>
            </w:r>
          </w:p>
        </w:tc>
        <w:tc>
          <w:tcPr>
            <w:tcW w:w="850" w:type="dxa"/>
            <w:vMerge w:val="restart"/>
            <w:tcBorders>
              <w:top w:val="single" w:sz="4" w:space="0" w:color="auto"/>
              <w:bottom w:val="single" w:sz="4" w:space="0" w:color="auto"/>
            </w:tcBorders>
            <w:vAlign w:val="center"/>
          </w:tcPr>
          <w:p w14:paraId="38710D00" w14:textId="77777777" w:rsidR="00293BE0" w:rsidRPr="00293BE0" w:rsidRDefault="00293BE0" w:rsidP="00293BE0">
            <w:pPr>
              <w:contextualSpacing/>
              <w:jc w:val="both"/>
              <w:rPr>
                <w:rFonts w:eastAsia="Calibri"/>
                <w:color w:val="000000"/>
                <w:sz w:val="16"/>
                <w:szCs w:val="16"/>
                <w:lang w:val="tr-TR"/>
              </w:rPr>
            </w:pPr>
            <w:r w:rsidRPr="00293BE0">
              <w:rPr>
                <w:rFonts w:eastAsia="Calibri"/>
                <w:color w:val="000000"/>
                <w:sz w:val="16"/>
                <w:szCs w:val="16"/>
                <w:lang w:val="tr-TR"/>
              </w:rPr>
              <w:t>P-Value (Sig.)</w:t>
            </w:r>
          </w:p>
        </w:tc>
      </w:tr>
      <w:tr w:rsidR="00293BE0" w:rsidRPr="00293BE0" w14:paraId="53589371" w14:textId="77777777" w:rsidTr="00CD16A2">
        <w:trPr>
          <w:trHeight w:val="53"/>
          <w:jc w:val="center"/>
        </w:trPr>
        <w:tc>
          <w:tcPr>
            <w:tcW w:w="1696" w:type="dxa"/>
            <w:vMerge/>
            <w:tcBorders>
              <w:bottom w:val="single" w:sz="4" w:space="0" w:color="auto"/>
            </w:tcBorders>
          </w:tcPr>
          <w:p w14:paraId="53052FAB" w14:textId="77777777" w:rsidR="00293BE0" w:rsidRPr="00293BE0" w:rsidRDefault="00293BE0" w:rsidP="00293BE0">
            <w:pPr>
              <w:contextualSpacing/>
              <w:jc w:val="both"/>
              <w:rPr>
                <w:rFonts w:eastAsia="Calibri"/>
                <w:color w:val="000000"/>
                <w:sz w:val="16"/>
                <w:szCs w:val="16"/>
                <w:lang w:val="tr-TR"/>
              </w:rPr>
            </w:pPr>
          </w:p>
        </w:tc>
        <w:tc>
          <w:tcPr>
            <w:tcW w:w="1418" w:type="dxa"/>
            <w:gridSpan w:val="2"/>
            <w:vAlign w:val="center"/>
          </w:tcPr>
          <w:p w14:paraId="0902A038" w14:textId="77777777" w:rsidR="00293BE0" w:rsidRPr="00293BE0" w:rsidRDefault="00293BE0" w:rsidP="00293BE0">
            <w:pPr>
              <w:contextualSpacing/>
              <w:jc w:val="center"/>
              <w:rPr>
                <w:rFonts w:eastAsia="Calibri"/>
                <w:color w:val="000000"/>
                <w:sz w:val="16"/>
                <w:szCs w:val="16"/>
                <w:lang w:val="tr-TR"/>
              </w:rPr>
            </w:pPr>
            <w:r w:rsidRPr="00293BE0">
              <w:rPr>
                <w:rFonts w:eastAsia="Calibri"/>
                <w:color w:val="000000"/>
                <w:sz w:val="16"/>
                <w:szCs w:val="16"/>
                <w:lang w:val="tr-TR"/>
              </w:rPr>
              <w:t>1</w:t>
            </w:r>
          </w:p>
        </w:tc>
        <w:tc>
          <w:tcPr>
            <w:tcW w:w="1417" w:type="dxa"/>
            <w:gridSpan w:val="2"/>
            <w:vAlign w:val="center"/>
          </w:tcPr>
          <w:p w14:paraId="44C949CD" w14:textId="77777777" w:rsidR="00293BE0" w:rsidRPr="00293BE0" w:rsidRDefault="00293BE0" w:rsidP="00293BE0">
            <w:pPr>
              <w:contextualSpacing/>
              <w:jc w:val="center"/>
              <w:rPr>
                <w:rFonts w:eastAsia="Calibri"/>
                <w:color w:val="000000"/>
                <w:sz w:val="16"/>
                <w:szCs w:val="16"/>
                <w:lang w:val="tr-TR"/>
              </w:rPr>
            </w:pPr>
            <w:r w:rsidRPr="00293BE0">
              <w:rPr>
                <w:rFonts w:eastAsia="Calibri"/>
                <w:color w:val="000000"/>
                <w:sz w:val="16"/>
                <w:szCs w:val="16"/>
                <w:lang w:val="tr-TR"/>
              </w:rPr>
              <w:t>2</w:t>
            </w:r>
          </w:p>
        </w:tc>
        <w:tc>
          <w:tcPr>
            <w:tcW w:w="1418" w:type="dxa"/>
            <w:gridSpan w:val="2"/>
            <w:vAlign w:val="center"/>
          </w:tcPr>
          <w:p w14:paraId="792125EB" w14:textId="77777777" w:rsidR="00293BE0" w:rsidRPr="00293BE0" w:rsidRDefault="00293BE0" w:rsidP="00293BE0">
            <w:pPr>
              <w:contextualSpacing/>
              <w:jc w:val="center"/>
              <w:rPr>
                <w:rFonts w:eastAsia="Calibri"/>
                <w:color w:val="000000"/>
                <w:sz w:val="16"/>
                <w:szCs w:val="16"/>
                <w:lang w:val="tr-TR"/>
              </w:rPr>
            </w:pPr>
            <w:r w:rsidRPr="00293BE0">
              <w:rPr>
                <w:rFonts w:eastAsia="Calibri"/>
                <w:color w:val="000000"/>
                <w:sz w:val="16"/>
                <w:szCs w:val="16"/>
                <w:lang w:val="tr-TR"/>
              </w:rPr>
              <w:t>3 and above</w:t>
            </w:r>
          </w:p>
        </w:tc>
        <w:tc>
          <w:tcPr>
            <w:tcW w:w="850" w:type="dxa"/>
            <w:vMerge/>
            <w:tcBorders>
              <w:bottom w:val="single" w:sz="4" w:space="0" w:color="auto"/>
            </w:tcBorders>
          </w:tcPr>
          <w:p w14:paraId="07B8B085" w14:textId="77777777" w:rsidR="00293BE0" w:rsidRPr="00293BE0" w:rsidRDefault="00293BE0" w:rsidP="00293BE0">
            <w:pPr>
              <w:contextualSpacing/>
              <w:jc w:val="both"/>
              <w:rPr>
                <w:rFonts w:eastAsia="Calibri"/>
                <w:color w:val="000000"/>
                <w:sz w:val="16"/>
                <w:szCs w:val="16"/>
                <w:lang w:val="tr-TR"/>
              </w:rPr>
            </w:pPr>
          </w:p>
        </w:tc>
      </w:tr>
      <w:tr w:rsidR="00293BE0" w:rsidRPr="00293BE0" w14:paraId="49110925" w14:textId="77777777" w:rsidTr="00CD16A2">
        <w:trPr>
          <w:trHeight w:val="53"/>
          <w:jc w:val="center"/>
        </w:trPr>
        <w:tc>
          <w:tcPr>
            <w:tcW w:w="1696" w:type="dxa"/>
            <w:vMerge/>
            <w:tcBorders>
              <w:bottom w:val="single" w:sz="4" w:space="0" w:color="auto"/>
            </w:tcBorders>
          </w:tcPr>
          <w:p w14:paraId="081D2794" w14:textId="77777777" w:rsidR="00293BE0" w:rsidRPr="00293BE0" w:rsidRDefault="00293BE0" w:rsidP="00293BE0">
            <w:pPr>
              <w:contextualSpacing/>
              <w:jc w:val="both"/>
              <w:rPr>
                <w:rFonts w:eastAsia="Calibri"/>
                <w:color w:val="000000"/>
                <w:sz w:val="16"/>
                <w:szCs w:val="16"/>
                <w:lang w:val="tr-TR"/>
              </w:rPr>
            </w:pPr>
          </w:p>
        </w:tc>
        <w:tc>
          <w:tcPr>
            <w:tcW w:w="720" w:type="dxa"/>
            <w:tcBorders>
              <w:bottom w:val="single" w:sz="4" w:space="0" w:color="auto"/>
            </w:tcBorders>
          </w:tcPr>
          <w:p w14:paraId="6183FDDA" w14:textId="77777777" w:rsidR="00293BE0" w:rsidRPr="00293BE0" w:rsidRDefault="00293BE0" w:rsidP="00293BE0">
            <w:pPr>
              <w:ind w:left="-108"/>
              <w:contextualSpacing/>
              <w:jc w:val="center"/>
              <w:rPr>
                <w:rFonts w:eastAsia="Calibri"/>
                <w:color w:val="000000"/>
                <w:sz w:val="16"/>
                <w:szCs w:val="16"/>
                <w:lang w:val="tr-TR"/>
              </w:rPr>
            </w:pPr>
            <w:r w:rsidRPr="00293BE0">
              <w:rPr>
                <w:rFonts w:eastAsia="Calibri"/>
                <w:color w:val="000000"/>
                <w:sz w:val="16"/>
                <w:szCs w:val="16"/>
                <w:lang w:val="tr-TR"/>
              </w:rPr>
              <w:t>Mean</w:t>
            </w:r>
          </w:p>
        </w:tc>
        <w:tc>
          <w:tcPr>
            <w:tcW w:w="698" w:type="dxa"/>
            <w:tcBorders>
              <w:bottom w:val="single" w:sz="4" w:space="0" w:color="auto"/>
            </w:tcBorders>
          </w:tcPr>
          <w:p w14:paraId="1FAE9107" w14:textId="77777777" w:rsidR="00293BE0" w:rsidRPr="00293BE0" w:rsidRDefault="00293BE0" w:rsidP="00293BE0">
            <w:pPr>
              <w:ind w:left="-108"/>
              <w:contextualSpacing/>
              <w:jc w:val="center"/>
              <w:rPr>
                <w:rFonts w:eastAsia="Calibri"/>
                <w:color w:val="000000"/>
                <w:sz w:val="16"/>
                <w:szCs w:val="16"/>
                <w:lang w:val="tr-TR"/>
              </w:rPr>
            </w:pPr>
            <w:r w:rsidRPr="00293BE0">
              <w:rPr>
                <w:rFonts w:eastAsia="Calibri"/>
                <w:color w:val="000000"/>
                <w:sz w:val="16"/>
                <w:szCs w:val="16"/>
                <w:lang w:val="tr-TR"/>
              </w:rPr>
              <w:t>Std.Dev</w:t>
            </w:r>
          </w:p>
        </w:tc>
        <w:tc>
          <w:tcPr>
            <w:tcW w:w="709" w:type="dxa"/>
            <w:tcBorders>
              <w:bottom w:val="single" w:sz="4" w:space="0" w:color="auto"/>
            </w:tcBorders>
          </w:tcPr>
          <w:p w14:paraId="06FE848D" w14:textId="77777777" w:rsidR="00293BE0" w:rsidRPr="00293BE0" w:rsidRDefault="00293BE0" w:rsidP="00293BE0">
            <w:pPr>
              <w:ind w:left="-108"/>
              <w:contextualSpacing/>
              <w:jc w:val="center"/>
              <w:rPr>
                <w:rFonts w:eastAsia="Calibri"/>
                <w:color w:val="000000"/>
                <w:sz w:val="16"/>
                <w:szCs w:val="16"/>
                <w:lang w:val="tr-TR"/>
              </w:rPr>
            </w:pPr>
            <w:r w:rsidRPr="00293BE0">
              <w:rPr>
                <w:rFonts w:eastAsia="Calibri"/>
                <w:color w:val="000000"/>
                <w:sz w:val="16"/>
                <w:szCs w:val="16"/>
                <w:lang w:val="tr-TR"/>
              </w:rPr>
              <w:t>Mean</w:t>
            </w:r>
          </w:p>
        </w:tc>
        <w:tc>
          <w:tcPr>
            <w:tcW w:w="708" w:type="dxa"/>
            <w:tcBorders>
              <w:bottom w:val="single" w:sz="4" w:space="0" w:color="auto"/>
            </w:tcBorders>
          </w:tcPr>
          <w:p w14:paraId="6D2FC1E1" w14:textId="77777777" w:rsidR="00293BE0" w:rsidRPr="00293BE0" w:rsidRDefault="00293BE0" w:rsidP="00293BE0">
            <w:pPr>
              <w:ind w:left="-108"/>
              <w:contextualSpacing/>
              <w:jc w:val="center"/>
              <w:rPr>
                <w:rFonts w:eastAsia="Calibri"/>
                <w:color w:val="000000"/>
                <w:sz w:val="16"/>
                <w:szCs w:val="16"/>
                <w:lang w:val="tr-TR"/>
              </w:rPr>
            </w:pPr>
            <w:r w:rsidRPr="00293BE0">
              <w:rPr>
                <w:rFonts w:eastAsia="Calibri"/>
                <w:color w:val="000000"/>
                <w:sz w:val="16"/>
                <w:szCs w:val="16"/>
                <w:lang w:val="tr-TR"/>
              </w:rPr>
              <w:t>Std.Dev.</w:t>
            </w:r>
          </w:p>
        </w:tc>
        <w:tc>
          <w:tcPr>
            <w:tcW w:w="709" w:type="dxa"/>
            <w:tcBorders>
              <w:bottom w:val="single" w:sz="4" w:space="0" w:color="auto"/>
            </w:tcBorders>
          </w:tcPr>
          <w:p w14:paraId="5C2DB877" w14:textId="77777777" w:rsidR="00293BE0" w:rsidRPr="00293BE0" w:rsidRDefault="00293BE0" w:rsidP="00293BE0">
            <w:pPr>
              <w:ind w:left="-108"/>
              <w:contextualSpacing/>
              <w:jc w:val="center"/>
              <w:rPr>
                <w:rFonts w:eastAsia="Calibri"/>
                <w:color w:val="000000"/>
                <w:sz w:val="16"/>
                <w:szCs w:val="16"/>
                <w:lang w:val="tr-TR"/>
              </w:rPr>
            </w:pPr>
            <w:r w:rsidRPr="00293BE0">
              <w:rPr>
                <w:rFonts w:eastAsia="Calibri"/>
                <w:color w:val="000000"/>
                <w:sz w:val="16"/>
                <w:szCs w:val="16"/>
                <w:lang w:val="tr-TR"/>
              </w:rPr>
              <w:t>Mean</w:t>
            </w:r>
          </w:p>
        </w:tc>
        <w:tc>
          <w:tcPr>
            <w:tcW w:w="709" w:type="dxa"/>
            <w:tcBorders>
              <w:bottom w:val="single" w:sz="4" w:space="0" w:color="auto"/>
            </w:tcBorders>
          </w:tcPr>
          <w:p w14:paraId="610AA471" w14:textId="77777777" w:rsidR="00293BE0" w:rsidRPr="00293BE0" w:rsidRDefault="00293BE0" w:rsidP="00293BE0">
            <w:pPr>
              <w:ind w:left="-108"/>
              <w:contextualSpacing/>
              <w:jc w:val="center"/>
              <w:rPr>
                <w:rFonts w:eastAsia="Calibri"/>
                <w:color w:val="000000"/>
                <w:sz w:val="16"/>
                <w:szCs w:val="16"/>
                <w:lang w:val="tr-TR"/>
              </w:rPr>
            </w:pPr>
            <w:r w:rsidRPr="00293BE0">
              <w:rPr>
                <w:rFonts w:eastAsia="Calibri"/>
                <w:color w:val="000000"/>
                <w:sz w:val="16"/>
                <w:szCs w:val="16"/>
                <w:lang w:val="tr-TR"/>
              </w:rPr>
              <w:t>Std.Dev</w:t>
            </w:r>
          </w:p>
        </w:tc>
        <w:tc>
          <w:tcPr>
            <w:tcW w:w="850" w:type="dxa"/>
            <w:vMerge/>
            <w:tcBorders>
              <w:bottom w:val="single" w:sz="4" w:space="0" w:color="auto"/>
            </w:tcBorders>
          </w:tcPr>
          <w:p w14:paraId="70535C83" w14:textId="77777777" w:rsidR="00293BE0" w:rsidRPr="00293BE0" w:rsidRDefault="00293BE0" w:rsidP="00293BE0">
            <w:pPr>
              <w:contextualSpacing/>
              <w:jc w:val="both"/>
              <w:rPr>
                <w:rFonts w:eastAsia="Calibri"/>
                <w:color w:val="000000"/>
                <w:sz w:val="16"/>
                <w:szCs w:val="16"/>
                <w:lang w:val="tr-TR"/>
              </w:rPr>
            </w:pPr>
          </w:p>
        </w:tc>
      </w:tr>
      <w:tr w:rsidR="00293BE0" w:rsidRPr="00293BE0" w14:paraId="07BCF91F" w14:textId="77777777" w:rsidTr="00CD16A2">
        <w:trPr>
          <w:trHeight w:val="84"/>
          <w:jc w:val="center"/>
        </w:trPr>
        <w:tc>
          <w:tcPr>
            <w:tcW w:w="1696" w:type="dxa"/>
            <w:tcBorders>
              <w:top w:val="single" w:sz="4" w:space="0" w:color="auto"/>
            </w:tcBorders>
            <w:vAlign w:val="center"/>
            <w:hideMark/>
          </w:tcPr>
          <w:p w14:paraId="2D98BE83" w14:textId="77777777" w:rsidR="00293BE0" w:rsidRPr="00293BE0" w:rsidRDefault="00293BE0" w:rsidP="00293BE0">
            <w:pPr>
              <w:ind w:left="-89"/>
              <w:jc w:val="both"/>
              <w:rPr>
                <w:color w:val="000000"/>
                <w:sz w:val="16"/>
                <w:szCs w:val="16"/>
                <w:lang w:val="en-GB" w:eastAsia="en-GB"/>
              </w:rPr>
            </w:pPr>
            <w:r w:rsidRPr="00293BE0">
              <w:rPr>
                <w:sz w:val="16"/>
                <w:szCs w:val="16"/>
                <w:lang w:val="en-GB" w:eastAsia="en-GB"/>
              </w:rPr>
              <w:t>Social Acceptance</w:t>
            </w:r>
          </w:p>
        </w:tc>
        <w:tc>
          <w:tcPr>
            <w:tcW w:w="720" w:type="dxa"/>
            <w:tcBorders>
              <w:top w:val="single" w:sz="4" w:space="0" w:color="auto"/>
            </w:tcBorders>
            <w:vAlign w:val="center"/>
          </w:tcPr>
          <w:p w14:paraId="57D17AE9" w14:textId="77777777" w:rsidR="00293BE0" w:rsidRPr="00293BE0" w:rsidRDefault="00293BE0" w:rsidP="00293BE0">
            <w:pPr>
              <w:contextualSpacing/>
              <w:jc w:val="both"/>
              <w:rPr>
                <w:rFonts w:eastAsia="Calibri"/>
                <w:bCs/>
                <w:color w:val="000000"/>
                <w:sz w:val="16"/>
                <w:szCs w:val="16"/>
                <w:lang w:val="tr-TR"/>
              </w:rPr>
            </w:pPr>
            <w:r w:rsidRPr="00293BE0">
              <w:rPr>
                <w:rFonts w:eastAsia="Calibri"/>
                <w:bCs/>
                <w:color w:val="000000"/>
                <w:sz w:val="16"/>
                <w:szCs w:val="16"/>
                <w:lang w:val="tr-TR"/>
              </w:rPr>
              <w:t>37.301</w:t>
            </w:r>
          </w:p>
        </w:tc>
        <w:tc>
          <w:tcPr>
            <w:tcW w:w="698" w:type="dxa"/>
            <w:tcBorders>
              <w:top w:val="single" w:sz="4" w:space="0" w:color="auto"/>
            </w:tcBorders>
            <w:vAlign w:val="center"/>
          </w:tcPr>
          <w:p w14:paraId="1A6515E3" w14:textId="77777777" w:rsidR="00293BE0" w:rsidRPr="00293BE0" w:rsidRDefault="00293BE0" w:rsidP="00293BE0">
            <w:pPr>
              <w:contextualSpacing/>
              <w:jc w:val="both"/>
              <w:rPr>
                <w:rFonts w:eastAsia="Calibri"/>
                <w:bCs/>
                <w:color w:val="000000"/>
                <w:sz w:val="16"/>
                <w:szCs w:val="16"/>
                <w:lang w:val="tr-TR"/>
              </w:rPr>
            </w:pPr>
            <w:r w:rsidRPr="00293BE0">
              <w:rPr>
                <w:rFonts w:eastAsia="Calibri"/>
                <w:bCs/>
                <w:color w:val="000000"/>
                <w:sz w:val="16"/>
                <w:szCs w:val="16"/>
                <w:lang w:val="tr-TR"/>
              </w:rPr>
              <w:t>8.406</w:t>
            </w:r>
          </w:p>
        </w:tc>
        <w:tc>
          <w:tcPr>
            <w:tcW w:w="709" w:type="dxa"/>
            <w:tcBorders>
              <w:top w:val="single" w:sz="4" w:space="0" w:color="auto"/>
            </w:tcBorders>
            <w:vAlign w:val="center"/>
          </w:tcPr>
          <w:p w14:paraId="330565C1" w14:textId="77777777" w:rsidR="00293BE0" w:rsidRPr="00293BE0" w:rsidRDefault="00293BE0" w:rsidP="00293BE0">
            <w:pPr>
              <w:contextualSpacing/>
              <w:jc w:val="both"/>
              <w:rPr>
                <w:rFonts w:eastAsia="Calibri"/>
                <w:bCs/>
                <w:color w:val="000000"/>
                <w:sz w:val="16"/>
                <w:szCs w:val="16"/>
                <w:lang w:val="tr-TR"/>
              </w:rPr>
            </w:pPr>
            <w:r w:rsidRPr="00293BE0">
              <w:rPr>
                <w:rFonts w:eastAsia="Calibri"/>
                <w:bCs/>
                <w:color w:val="000000"/>
                <w:sz w:val="16"/>
                <w:szCs w:val="16"/>
                <w:lang w:val="tr-TR"/>
              </w:rPr>
              <w:t>38.989</w:t>
            </w:r>
          </w:p>
        </w:tc>
        <w:tc>
          <w:tcPr>
            <w:tcW w:w="708" w:type="dxa"/>
            <w:tcBorders>
              <w:top w:val="single" w:sz="4" w:space="0" w:color="auto"/>
            </w:tcBorders>
            <w:vAlign w:val="center"/>
          </w:tcPr>
          <w:p w14:paraId="711D711B" w14:textId="77777777" w:rsidR="00293BE0" w:rsidRPr="00293BE0" w:rsidRDefault="00293BE0" w:rsidP="00293BE0">
            <w:pPr>
              <w:contextualSpacing/>
              <w:jc w:val="both"/>
              <w:rPr>
                <w:rFonts w:eastAsia="Calibri"/>
                <w:bCs/>
                <w:color w:val="000000"/>
                <w:sz w:val="16"/>
                <w:szCs w:val="16"/>
                <w:lang w:val="tr-TR"/>
              </w:rPr>
            </w:pPr>
            <w:r w:rsidRPr="00293BE0">
              <w:rPr>
                <w:rFonts w:eastAsia="Calibri"/>
                <w:bCs/>
                <w:color w:val="000000"/>
                <w:sz w:val="16"/>
                <w:szCs w:val="16"/>
                <w:lang w:val="tr-TR"/>
              </w:rPr>
              <w:t>7.242</w:t>
            </w:r>
          </w:p>
        </w:tc>
        <w:tc>
          <w:tcPr>
            <w:tcW w:w="709" w:type="dxa"/>
            <w:tcBorders>
              <w:top w:val="single" w:sz="4" w:space="0" w:color="auto"/>
            </w:tcBorders>
            <w:vAlign w:val="center"/>
          </w:tcPr>
          <w:p w14:paraId="11890A67" w14:textId="77777777" w:rsidR="00293BE0" w:rsidRPr="00293BE0" w:rsidRDefault="00293BE0" w:rsidP="00293BE0">
            <w:pPr>
              <w:contextualSpacing/>
              <w:jc w:val="both"/>
              <w:rPr>
                <w:rFonts w:eastAsia="Calibri"/>
                <w:bCs/>
                <w:color w:val="000000"/>
                <w:sz w:val="16"/>
                <w:szCs w:val="16"/>
                <w:lang w:val="tr-TR"/>
              </w:rPr>
            </w:pPr>
            <w:r w:rsidRPr="00293BE0">
              <w:rPr>
                <w:rFonts w:eastAsia="Calibri"/>
                <w:bCs/>
                <w:color w:val="000000"/>
                <w:sz w:val="16"/>
                <w:szCs w:val="16"/>
                <w:lang w:val="tr-TR"/>
              </w:rPr>
              <w:t>39.733</w:t>
            </w:r>
          </w:p>
        </w:tc>
        <w:tc>
          <w:tcPr>
            <w:tcW w:w="709" w:type="dxa"/>
            <w:tcBorders>
              <w:top w:val="single" w:sz="4" w:space="0" w:color="auto"/>
            </w:tcBorders>
            <w:vAlign w:val="center"/>
          </w:tcPr>
          <w:p w14:paraId="5160D2FB" w14:textId="77777777" w:rsidR="00293BE0" w:rsidRPr="00293BE0" w:rsidRDefault="00293BE0" w:rsidP="00293BE0">
            <w:pPr>
              <w:contextualSpacing/>
              <w:jc w:val="both"/>
              <w:rPr>
                <w:rFonts w:eastAsia="Calibri"/>
                <w:bCs/>
                <w:color w:val="000000"/>
                <w:sz w:val="16"/>
                <w:szCs w:val="16"/>
                <w:lang w:val="tr-TR"/>
              </w:rPr>
            </w:pPr>
            <w:r w:rsidRPr="00293BE0">
              <w:rPr>
                <w:rFonts w:eastAsia="Calibri"/>
                <w:bCs/>
                <w:color w:val="000000"/>
                <w:sz w:val="16"/>
                <w:szCs w:val="16"/>
                <w:lang w:val="tr-TR"/>
              </w:rPr>
              <w:t>7.085</w:t>
            </w:r>
          </w:p>
        </w:tc>
        <w:tc>
          <w:tcPr>
            <w:tcW w:w="850" w:type="dxa"/>
            <w:tcBorders>
              <w:top w:val="single" w:sz="4" w:space="0" w:color="auto"/>
            </w:tcBorders>
            <w:vAlign w:val="center"/>
          </w:tcPr>
          <w:p w14:paraId="0A8ABE8E" w14:textId="77777777" w:rsidR="00293BE0" w:rsidRPr="00293BE0" w:rsidRDefault="00293BE0" w:rsidP="00293BE0">
            <w:pPr>
              <w:contextualSpacing/>
              <w:jc w:val="both"/>
              <w:rPr>
                <w:rFonts w:eastAsia="Calibri"/>
                <w:bCs/>
                <w:color w:val="000000"/>
                <w:sz w:val="16"/>
                <w:szCs w:val="16"/>
                <w:lang w:val="tr-TR"/>
              </w:rPr>
            </w:pPr>
            <w:r w:rsidRPr="00293BE0">
              <w:rPr>
                <w:rFonts w:eastAsia="Calibri"/>
                <w:bCs/>
                <w:color w:val="000000"/>
                <w:sz w:val="16"/>
                <w:szCs w:val="16"/>
                <w:lang w:val="tr-TR"/>
              </w:rPr>
              <w:t>.268</w:t>
            </w:r>
          </w:p>
        </w:tc>
      </w:tr>
      <w:tr w:rsidR="00293BE0" w:rsidRPr="00293BE0" w14:paraId="37CB6F40" w14:textId="77777777" w:rsidTr="00CD16A2">
        <w:trPr>
          <w:trHeight w:val="53"/>
          <w:jc w:val="center"/>
        </w:trPr>
        <w:tc>
          <w:tcPr>
            <w:tcW w:w="1696" w:type="dxa"/>
            <w:vAlign w:val="center"/>
          </w:tcPr>
          <w:p w14:paraId="77ADE231" w14:textId="77777777" w:rsidR="00293BE0" w:rsidRPr="00293BE0" w:rsidRDefault="00293BE0" w:rsidP="00293BE0">
            <w:pPr>
              <w:ind w:left="-89"/>
              <w:jc w:val="both"/>
              <w:rPr>
                <w:color w:val="000000"/>
                <w:sz w:val="16"/>
                <w:szCs w:val="16"/>
                <w:lang w:val="en-GB" w:eastAsia="en-GB"/>
              </w:rPr>
            </w:pPr>
            <w:r w:rsidRPr="00293BE0">
              <w:rPr>
                <w:sz w:val="16"/>
                <w:szCs w:val="16"/>
                <w:lang w:val="en-GB" w:eastAsia="en-GB"/>
              </w:rPr>
              <w:t>Student Behaviour</w:t>
            </w:r>
          </w:p>
        </w:tc>
        <w:tc>
          <w:tcPr>
            <w:tcW w:w="720" w:type="dxa"/>
            <w:vAlign w:val="center"/>
          </w:tcPr>
          <w:p w14:paraId="64CB5A06" w14:textId="77777777" w:rsidR="00293BE0" w:rsidRPr="00293BE0" w:rsidRDefault="00293BE0" w:rsidP="00293BE0">
            <w:pPr>
              <w:contextualSpacing/>
              <w:jc w:val="both"/>
              <w:rPr>
                <w:rFonts w:eastAsia="Calibri"/>
                <w:color w:val="000000"/>
                <w:sz w:val="16"/>
                <w:szCs w:val="16"/>
                <w:lang w:val="tr-TR"/>
              </w:rPr>
            </w:pPr>
            <w:r w:rsidRPr="00293BE0">
              <w:rPr>
                <w:rFonts w:eastAsia="Calibri"/>
                <w:color w:val="000000"/>
                <w:sz w:val="16"/>
                <w:szCs w:val="16"/>
                <w:lang w:val="tr-TR"/>
              </w:rPr>
              <w:t>24.650</w:t>
            </w:r>
          </w:p>
        </w:tc>
        <w:tc>
          <w:tcPr>
            <w:tcW w:w="698" w:type="dxa"/>
            <w:vAlign w:val="center"/>
          </w:tcPr>
          <w:p w14:paraId="68498B7E" w14:textId="77777777" w:rsidR="00293BE0" w:rsidRPr="00293BE0" w:rsidRDefault="00293BE0" w:rsidP="00293BE0">
            <w:pPr>
              <w:contextualSpacing/>
              <w:jc w:val="both"/>
              <w:rPr>
                <w:rFonts w:eastAsia="Calibri"/>
                <w:color w:val="000000"/>
                <w:sz w:val="16"/>
                <w:szCs w:val="16"/>
                <w:lang w:val="tr-TR"/>
              </w:rPr>
            </w:pPr>
            <w:r w:rsidRPr="00293BE0">
              <w:rPr>
                <w:rFonts w:eastAsia="Calibri"/>
                <w:color w:val="000000"/>
                <w:sz w:val="16"/>
                <w:szCs w:val="16"/>
                <w:lang w:val="tr-TR"/>
              </w:rPr>
              <w:t>3.460</w:t>
            </w:r>
          </w:p>
        </w:tc>
        <w:tc>
          <w:tcPr>
            <w:tcW w:w="709" w:type="dxa"/>
            <w:vAlign w:val="center"/>
          </w:tcPr>
          <w:p w14:paraId="68794F84" w14:textId="77777777" w:rsidR="00293BE0" w:rsidRPr="00293BE0" w:rsidRDefault="00293BE0" w:rsidP="00293BE0">
            <w:pPr>
              <w:contextualSpacing/>
              <w:jc w:val="both"/>
              <w:rPr>
                <w:rFonts w:eastAsia="Calibri"/>
                <w:color w:val="000000"/>
                <w:sz w:val="16"/>
                <w:szCs w:val="16"/>
                <w:lang w:val="tr-TR"/>
              </w:rPr>
            </w:pPr>
            <w:r w:rsidRPr="00293BE0">
              <w:rPr>
                <w:rFonts w:eastAsia="Calibri"/>
                <w:color w:val="000000"/>
                <w:sz w:val="16"/>
                <w:szCs w:val="16"/>
                <w:lang w:val="tr-TR"/>
              </w:rPr>
              <w:t>25.721</w:t>
            </w:r>
          </w:p>
        </w:tc>
        <w:tc>
          <w:tcPr>
            <w:tcW w:w="708" w:type="dxa"/>
            <w:vAlign w:val="center"/>
          </w:tcPr>
          <w:p w14:paraId="10EC66A1" w14:textId="77777777" w:rsidR="00293BE0" w:rsidRPr="00293BE0" w:rsidRDefault="00293BE0" w:rsidP="00293BE0">
            <w:pPr>
              <w:contextualSpacing/>
              <w:jc w:val="both"/>
              <w:rPr>
                <w:rFonts w:eastAsia="Calibri"/>
                <w:color w:val="000000"/>
                <w:sz w:val="16"/>
                <w:szCs w:val="16"/>
                <w:lang w:val="tr-TR"/>
              </w:rPr>
            </w:pPr>
            <w:r w:rsidRPr="00293BE0">
              <w:rPr>
                <w:rFonts w:eastAsia="Calibri"/>
                <w:color w:val="000000"/>
                <w:sz w:val="16"/>
                <w:szCs w:val="16"/>
                <w:lang w:val="tr-TR"/>
              </w:rPr>
              <w:t>2.308</w:t>
            </w:r>
          </w:p>
        </w:tc>
        <w:tc>
          <w:tcPr>
            <w:tcW w:w="709" w:type="dxa"/>
            <w:vAlign w:val="center"/>
          </w:tcPr>
          <w:p w14:paraId="5829E2A3" w14:textId="77777777" w:rsidR="00293BE0" w:rsidRPr="00293BE0" w:rsidRDefault="00293BE0" w:rsidP="00293BE0">
            <w:pPr>
              <w:contextualSpacing/>
              <w:jc w:val="both"/>
              <w:rPr>
                <w:rFonts w:eastAsia="Calibri"/>
                <w:color w:val="000000"/>
                <w:sz w:val="16"/>
                <w:szCs w:val="16"/>
                <w:lang w:val="tr-TR"/>
              </w:rPr>
            </w:pPr>
            <w:r w:rsidRPr="00293BE0">
              <w:rPr>
                <w:rFonts w:eastAsia="Calibri"/>
                <w:color w:val="000000"/>
                <w:sz w:val="16"/>
                <w:szCs w:val="16"/>
                <w:lang w:val="tr-TR"/>
              </w:rPr>
              <w:t>25.783</w:t>
            </w:r>
          </w:p>
        </w:tc>
        <w:tc>
          <w:tcPr>
            <w:tcW w:w="709" w:type="dxa"/>
            <w:vAlign w:val="center"/>
          </w:tcPr>
          <w:p w14:paraId="59E8713D" w14:textId="77777777" w:rsidR="00293BE0" w:rsidRPr="00293BE0" w:rsidRDefault="00293BE0" w:rsidP="00293BE0">
            <w:pPr>
              <w:contextualSpacing/>
              <w:jc w:val="both"/>
              <w:rPr>
                <w:rFonts w:eastAsia="Calibri"/>
                <w:color w:val="000000"/>
                <w:sz w:val="16"/>
                <w:szCs w:val="16"/>
                <w:lang w:val="tr-TR"/>
              </w:rPr>
            </w:pPr>
            <w:r w:rsidRPr="00293BE0">
              <w:rPr>
                <w:rFonts w:eastAsia="Calibri"/>
                <w:color w:val="000000"/>
                <w:sz w:val="16"/>
                <w:szCs w:val="16"/>
                <w:lang w:val="tr-TR"/>
              </w:rPr>
              <w:t>1.841</w:t>
            </w:r>
          </w:p>
        </w:tc>
        <w:tc>
          <w:tcPr>
            <w:tcW w:w="850" w:type="dxa"/>
            <w:vAlign w:val="center"/>
          </w:tcPr>
          <w:p w14:paraId="454D0BD3" w14:textId="77777777" w:rsidR="00293BE0" w:rsidRPr="00293BE0" w:rsidRDefault="00293BE0" w:rsidP="00293BE0">
            <w:pPr>
              <w:contextualSpacing/>
              <w:jc w:val="both"/>
              <w:rPr>
                <w:rFonts w:eastAsia="Calibri"/>
                <w:color w:val="000000"/>
                <w:sz w:val="16"/>
                <w:szCs w:val="16"/>
                <w:lang w:val="tr-TR"/>
              </w:rPr>
            </w:pPr>
            <w:r w:rsidRPr="00293BE0">
              <w:rPr>
                <w:rFonts w:eastAsia="Calibri"/>
                <w:color w:val="000000"/>
                <w:sz w:val="16"/>
                <w:szCs w:val="16"/>
                <w:lang w:val="tr-TR"/>
              </w:rPr>
              <w:t>.042*</w:t>
            </w:r>
          </w:p>
        </w:tc>
      </w:tr>
      <w:tr w:rsidR="00293BE0" w:rsidRPr="00293BE0" w14:paraId="21E2A0E8" w14:textId="77777777" w:rsidTr="00CD16A2">
        <w:trPr>
          <w:trHeight w:val="59"/>
          <w:jc w:val="center"/>
        </w:trPr>
        <w:tc>
          <w:tcPr>
            <w:tcW w:w="1696" w:type="dxa"/>
            <w:vAlign w:val="center"/>
          </w:tcPr>
          <w:p w14:paraId="1277BCAD" w14:textId="77777777" w:rsidR="00293BE0" w:rsidRPr="00293BE0" w:rsidRDefault="00293BE0" w:rsidP="00293BE0">
            <w:pPr>
              <w:ind w:left="-89"/>
              <w:jc w:val="both"/>
              <w:rPr>
                <w:color w:val="000000"/>
                <w:sz w:val="16"/>
                <w:szCs w:val="16"/>
                <w:lang w:val="en-GB" w:eastAsia="en-GB"/>
              </w:rPr>
            </w:pPr>
            <w:r w:rsidRPr="00293BE0">
              <w:rPr>
                <w:sz w:val="16"/>
                <w:szCs w:val="16"/>
                <w:lang w:val="en-GB" w:eastAsia="en-GB"/>
              </w:rPr>
              <w:t>Peer Attitude</w:t>
            </w:r>
          </w:p>
        </w:tc>
        <w:tc>
          <w:tcPr>
            <w:tcW w:w="720" w:type="dxa"/>
            <w:vAlign w:val="center"/>
          </w:tcPr>
          <w:p w14:paraId="168DE4D5" w14:textId="77777777" w:rsidR="00293BE0" w:rsidRPr="00293BE0" w:rsidRDefault="00293BE0" w:rsidP="00293BE0">
            <w:pPr>
              <w:contextualSpacing/>
              <w:jc w:val="both"/>
              <w:rPr>
                <w:rFonts w:eastAsia="Calibri"/>
                <w:color w:val="000000"/>
                <w:sz w:val="16"/>
                <w:szCs w:val="16"/>
                <w:lang w:val="tr-TR"/>
              </w:rPr>
            </w:pPr>
            <w:r w:rsidRPr="00293BE0">
              <w:rPr>
                <w:rFonts w:eastAsia="Calibri"/>
                <w:color w:val="000000"/>
                <w:sz w:val="16"/>
                <w:szCs w:val="16"/>
                <w:lang w:val="tr-TR"/>
              </w:rPr>
              <w:t>18.365</w:t>
            </w:r>
          </w:p>
        </w:tc>
        <w:tc>
          <w:tcPr>
            <w:tcW w:w="698" w:type="dxa"/>
            <w:vAlign w:val="center"/>
          </w:tcPr>
          <w:p w14:paraId="5C908AC1" w14:textId="77777777" w:rsidR="00293BE0" w:rsidRPr="00293BE0" w:rsidRDefault="00293BE0" w:rsidP="00293BE0">
            <w:pPr>
              <w:contextualSpacing/>
              <w:jc w:val="both"/>
              <w:rPr>
                <w:rFonts w:eastAsia="Calibri"/>
                <w:color w:val="000000"/>
                <w:sz w:val="16"/>
                <w:szCs w:val="16"/>
                <w:lang w:val="tr-TR"/>
              </w:rPr>
            </w:pPr>
            <w:r w:rsidRPr="00293BE0">
              <w:rPr>
                <w:rFonts w:eastAsia="Calibri"/>
                <w:color w:val="000000"/>
                <w:sz w:val="16"/>
                <w:szCs w:val="16"/>
                <w:lang w:val="tr-TR"/>
              </w:rPr>
              <w:t>2.665</w:t>
            </w:r>
          </w:p>
        </w:tc>
        <w:tc>
          <w:tcPr>
            <w:tcW w:w="709" w:type="dxa"/>
            <w:vAlign w:val="center"/>
          </w:tcPr>
          <w:p w14:paraId="302803FA" w14:textId="77777777" w:rsidR="00293BE0" w:rsidRPr="00293BE0" w:rsidRDefault="00293BE0" w:rsidP="00293BE0">
            <w:pPr>
              <w:contextualSpacing/>
              <w:jc w:val="both"/>
              <w:rPr>
                <w:rFonts w:eastAsia="Calibri"/>
                <w:color w:val="000000"/>
                <w:sz w:val="16"/>
                <w:szCs w:val="16"/>
                <w:lang w:val="tr-TR"/>
              </w:rPr>
            </w:pPr>
            <w:r w:rsidRPr="00293BE0">
              <w:rPr>
                <w:rFonts w:eastAsia="Calibri"/>
                <w:color w:val="000000"/>
                <w:sz w:val="16"/>
                <w:szCs w:val="16"/>
                <w:lang w:val="tr-TR"/>
              </w:rPr>
              <w:t>19.195</w:t>
            </w:r>
          </w:p>
        </w:tc>
        <w:tc>
          <w:tcPr>
            <w:tcW w:w="708" w:type="dxa"/>
            <w:vAlign w:val="center"/>
          </w:tcPr>
          <w:p w14:paraId="0A2D5CF3" w14:textId="77777777" w:rsidR="00293BE0" w:rsidRPr="00293BE0" w:rsidRDefault="00293BE0" w:rsidP="00293BE0">
            <w:pPr>
              <w:contextualSpacing/>
              <w:jc w:val="both"/>
              <w:rPr>
                <w:rFonts w:eastAsia="Calibri"/>
                <w:color w:val="000000"/>
                <w:sz w:val="16"/>
                <w:szCs w:val="16"/>
                <w:lang w:val="tr-TR"/>
              </w:rPr>
            </w:pPr>
            <w:r w:rsidRPr="00293BE0">
              <w:rPr>
                <w:rFonts w:eastAsia="Calibri"/>
                <w:color w:val="000000"/>
                <w:sz w:val="16"/>
                <w:szCs w:val="16"/>
                <w:lang w:val="tr-TR"/>
              </w:rPr>
              <w:t>2.148</w:t>
            </w:r>
          </w:p>
        </w:tc>
        <w:tc>
          <w:tcPr>
            <w:tcW w:w="709" w:type="dxa"/>
            <w:vAlign w:val="center"/>
          </w:tcPr>
          <w:p w14:paraId="09538290" w14:textId="77777777" w:rsidR="00293BE0" w:rsidRPr="00293BE0" w:rsidRDefault="00293BE0" w:rsidP="00293BE0">
            <w:pPr>
              <w:contextualSpacing/>
              <w:jc w:val="both"/>
              <w:rPr>
                <w:rFonts w:eastAsia="Calibri"/>
                <w:color w:val="000000"/>
                <w:sz w:val="16"/>
                <w:szCs w:val="16"/>
                <w:lang w:val="tr-TR"/>
              </w:rPr>
            </w:pPr>
            <w:r w:rsidRPr="00293BE0">
              <w:rPr>
                <w:rFonts w:eastAsia="Calibri"/>
                <w:color w:val="000000"/>
                <w:sz w:val="16"/>
                <w:szCs w:val="16"/>
                <w:lang w:val="tr-TR"/>
              </w:rPr>
              <w:t>18.950</w:t>
            </w:r>
          </w:p>
        </w:tc>
        <w:tc>
          <w:tcPr>
            <w:tcW w:w="709" w:type="dxa"/>
            <w:vAlign w:val="center"/>
          </w:tcPr>
          <w:p w14:paraId="63C48F33" w14:textId="77777777" w:rsidR="00293BE0" w:rsidRPr="00293BE0" w:rsidRDefault="00293BE0" w:rsidP="00293BE0">
            <w:pPr>
              <w:contextualSpacing/>
              <w:jc w:val="both"/>
              <w:rPr>
                <w:rFonts w:eastAsia="Calibri"/>
                <w:color w:val="000000"/>
                <w:sz w:val="16"/>
                <w:szCs w:val="16"/>
                <w:lang w:val="tr-TR"/>
              </w:rPr>
            </w:pPr>
            <w:r w:rsidRPr="00293BE0">
              <w:rPr>
                <w:rFonts w:eastAsia="Calibri"/>
                <w:color w:val="000000"/>
                <w:sz w:val="16"/>
                <w:szCs w:val="16"/>
                <w:lang w:val="tr-TR"/>
              </w:rPr>
              <w:t>2.134</w:t>
            </w:r>
          </w:p>
        </w:tc>
        <w:tc>
          <w:tcPr>
            <w:tcW w:w="850" w:type="dxa"/>
            <w:vAlign w:val="center"/>
          </w:tcPr>
          <w:p w14:paraId="06B67CE9" w14:textId="77777777" w:rsidR="00293BE0" w:rsidRPr="00293BE0" w:rsidRDefault="00293BE0" w:rsidP="00293BE0">
            <w:pPr>
              <w:contextualSpacing/>
              <w:jc w:val="both"/>
              <w:rPr>
                <w:rFonts w:eastAsia="Calibri"/>
                <w:color w:val="000000"/>
                <w:sz w:val="16"/>
                <w:szCs w:val="16"/>
                <w:lang w:val="tr-TR"/>
              </w:rPr>
            </w:pPr>
            <w:r w:rsidRPr="00293BE0">
              <w:rPr>
                <w:rFonts w:eastAsia="Calibri"/>
                <w:color w:val="000000"/>
                <w:sz w:val="16"/>
                <w:szCs w:val="16"/>
                <w:lang w:val="tr-TR"/>
              </w:rPr>
              <w:t>.089</w:t>
            </w:r>
          </w:p>
        </w:tc>
      </w:tr>
      <w:tr w:rsidR="00293BE0" w:rsidRPr="00293BE0" w14:paraId="61C78F56" w14:textId="77777777" w:rsidTr="00CD16A2">
        <w:trPr>
          <w:trHeight w:val="53"/>
          <w:jc w:val="center"/>
        </w:trPr>
        <w:tc>
          <w:tcPr>
            <w:tcW w:w="1696" w:type="dxa"/>
            <w:tcBorders>
              <w:bottom w:val="single" w:sz="4" w:space="0" w:color="auto"/>
            </w:tcBorders>
            <w:vAlign w:val="center"/>
          </w:tcPr>
          <w:p w14:paraId="0E43A8D8" w14:textId="77777777" w:rsidR="00293BE0" w:rsidRPr="00293BE0" w:rsidRDefault="00293BE0" w:rsidP="00293BE0">
            <w:pPr>
              <w:ind w:left="-89"/>
              <w:contextualSpacing/>
              <w:jc w:val="both"/>
              <w:rPr>
                <w:rFonts w:eastAsia="Calibri"/>
                <w:color w:val="000000"/>
                <w:sz w:val="16"/>
                <w:szCs w:val="16"/>
                <w:lang w:val="tr-TR"/>
              </w:rPr>
            </w:pPr>
            <w:r w:rsidRPr="00293BE0">
              <w:rPr>
                <w:rFonts w:eastAsia="Calibri"/>
                <w:sz w:val="16"/>
                <w:szCs w:val="16"/>
                <w:lang w:val="en-GB"/>
              </w:rPr>
              <w:t>Social Acceptance Scale</w:t>
            </w:r>
          </w:p>
        </w:tc>
        <w:tc>
          <w:tcPr>
            <w:tcW w:w="720" w:type="dxa"/>
            <w:tcBorders>
              <w:bottom w:val="single" w:sz="4" w:space="0" w:color="auto"/>
            </w:tcBorders>
            <w:vAlign w:val="center"/>
          </w:tcPr>
          <w:p w14:paraId="54B121A9" w14:textId="77777777" w:rsidR="00293BE0" w:rsidRPr="00293BE0" w:rsidRDefault="00293BE0" w:rsidP="00293BE0">
            <w:pPr>
              <w:contextualSpacing/>
              <w:jc w:val="both"/>
              <w:rPr>
                <w:rFonts w:eastAsia="Calibri"/>
                <w:color w:val="000000"/>
                <w:sz w:val="16"/>
                <w:szCs w:val="16"/>
                <w:lang w:val="tr-TR"/>
              </w:rPr>
            </w:pPr>
            <w:r w:rsidRPr="00293BE0">
              <w:rPr>
                <w:rFonts w:eastAsia="Calibri"/>
                <w:color w:val="000000"/>
                <w:sz w:val="16"/>
                <w:szCs w:val="16"/>
                <w:lang w:val="tr-TR"/>
              </w:rPr>
              <w:t>80.317</w:t>
            </w:r>
          </w:p>
        </w:tc>
        <w:tc>
          <w:tcPr>
            <w:tcW w:w="698" w:type="dxa"/>
            <w:tcBorders>
              <w:bottom w:val="single" w:sz="4" w:space="0" w:color="auto"/>
            </w:tcBorders>
            <w:vAlign w:val="center"/>
          </w:tcPr>
          <w:p w14:paraId="2A653D44" w14:textId="77777777" w:rsidR="00293BE0" w:rsidRPr="00293BE0" w:rsidRDefault="00293BE0" w:rsidP="00293BE0">
            <w:pPr>
              <w:contextualSpacing/>
              <w:jc w:val="both"/>
              <w:rPr>
                <w:rFonts w:eastAsia="Calibri"/>
                <w:color w:val="000000"/>
                <w:sz w:val="16"/>
                <w:szCs w:val="16"/>
                <w:lang w:val="tr-TR"/>
              </w:rPr>
            </w:pPr>
            <w:r w:rsidRPr="00293BE0">
              <w:rPr>
                <w:rFonts w:eastAsia="Calibri"/>
                <w:color w:val="000000"/>
                <w:sz w:val="16"/>
                <w:szCs w:val="16"/>
                <w:lang w:val="tr-TR"/>
              </w:rPr>
              <w:t>12.868</w:t>
            </w:r>
          </w:p>
        </w:tc>
        <w:tc>
          <w:tcPr>
            <w:tcW w:w="709" w:type="dxa"/>
            <w:tcBorders>
              <w:bottom w:val="single" w:sz="4" w:space="0" w:color="auto"/>
            </w:tcBorders>
            <w:vAlign w:val="center"/>
          </w:tcPr>
          <w:p w14:paraId="08EC30A0" w14:textId="77777777" w:rsidR="00293BE0" w:rsidRPr="00293BE0" w:rsidRDefault="00293BE0" w:rsidP="00293BE0">
            <w:pPr>
              <w:contextualSpacing/>
              <w:jc w:val="both"/>
              <w:rPr>
                <w:rFonts w:eastAsia="Calibri"/>
                <w:color w:val="000000"/>
                <w:sz w:val="16"/>
                <w:szCs w:val="16"/>
                <w:lang w:val="tr-TR"/>
              </w:rPr>
            </w:pPr>
            <w:r w:rsidRPr="00293BE0">
              <w:rPr>
                <w:rFonts w:eastAsia="Calibri"/>
                <w:color w:val="000000"/>
                <w:sz w:val="16"/>
                <w:szCs w:val="16"/>
                <w:lang w:val="tr-TR"/>
              </w:rPr>
              <w:t>83.907</w:t>
            </w:r>
          </w:p>
        </w:tc>
        <w:tc>
          <w:tcPr>
            <w:tcW w:w="708" w:type="dxa"/>
            <w:tcBorders>
              <w:bottom w:val="single" w:sz="4" w:space="0" w:color="auto"/>
            </w:tcBorders>
            <w:vAlign w:val="center"/>
          </w:tcPr>
          <w:p w14:paraId="68121236" w14:textId="77777777" w:rsidR="00293BE0" w:rsidRPr="00293BE0" w:rsidRDefault="00293BE0" w:rsidP="00293BE0">
            <w:pPr>
              <w:contextualSpacing/>
              <w:jc w:val="both"/>
              <w:rPr>
                <w:rFonts w:eastAsia="Calibri"/>
                <w:color w:val="000000"/>
                <w:sz w:val="16"/>
                <w:szCs w:val="16"/>
                <w:lang w:val="tr-TR"/>
              </w:rPr>
            </w:pPr>
            <w:r w:rsidRPr="00293BE0">
              <w:rPr>
                <w:rFonts w:eastAsia="Calibri"/>
                <w:color w:val="000000"/>
                <w:sz w:val="16"/>
                <w:szCs w:val="16"/>
                <w:lang w:val="tr-TR"/>
              </w:rPr>
              <w:t>10.458</w:t>
            </w:r>
          </w:p>
        </w:tc>
        <w:tc>
          <w:tcPr>
            <w:tcW w:w="709" w:type="dxa"/>
            <w:tcBorders>
              <w:bottom w:val="single" w:sz="4" w:space="0" w:color="auto"/>
            </w:tcBorders>
            <w:vAlign w:val="center"/>
          </w:tcPr>
          <w:p w14:paraId="18518247" w14:textId="77777777" w:rsidR="00293BE0" w:rsidRPr="00293BE0" w:rsidRDefault="00293BE0" w:rsidP="00293BE0">
            <w:pPr>
              <w:contextualSpacing/>
              <w:jc w:val="both"/>
              <w:rPr>
                <w:rFonts w:eastAsia="Calibri"/>
                <w:color w:val="000000"/>
                <w:sz w:val="16"/>
                <w:szCs w:val="16"/>
                <w:lang w:val="tr-TR"/>
              </w:rPr>
            </w:pPr>
            <w:r w:rsidRPr="00293BE0">
              <w:rPr>
                <w:rFonts w:eastAsia="Calibri"/>
                <w:color w:val="000000"/>
                <w:sz w:val="16"/>
                <w:szCs w:val="16"/>
                <w:lang w:val="tr-TR"/>
              </w:rPr>
              <w:t>84.466</w:t>
            </w:r>
          </w:p>
        </w:tc>
        <w:tc>
          <w:tcPr>
            <w:tcW w:w="709" w:type="dxa"/>
            <w:tcBorders>
              <w:bottom w:val="single" w:sz="4" w:space="0" w:color="auto"/>
            </w:tcBorders>
            <w:vAlign w:val="center"/>
          </w:tcPr>
          <w:p w14:paraId="09FF9D69" w14:textId="77777777" w:rsidR="00293BE0" w:rsidRPr="00293BE0" w:rsidRDefault="00293BE0" w:rsidP="00293BE0">
            <w:pPr>
              <w:contextualSpacing/>
              <w:jc w:val="both"/>
              <w:rPr>
                <w:rFonts w:eastAsia="Calibri"/>
                <w:color w:val="000000"/>
                <w:sz w:val="16"/>
                <w:szCs w:val="16"/>
                <w:lang w:val="tr-TR"/>
              </w:rPr>
            </w:pPr>
            <w:r w:rsidRPr="00293BE0">
              <w:rPr>
                <w:rFonts w:eastAsia="Calibri"/>
                <w:color w:val="000000"/>
                <w:sz w:val="16"/>
                <w:szCs w:val="16"/>
                <w:lang w:val="tr-TR"/>
              </w:rPr>
              <w:t>10.195</w:t>
            </w:r>
          </w:p>
        </w:tc>
        <w:tc>
          <w:tcPr>
            <w:tcW w:w="850" w:type="dxa"/>
            <w:tcBorders>
              <w:bottom w:val="single" w:sz="4" w:space="0" w:color="auto"/>
            </w:tcBorders>
            <w:vAlign w:val="center"/>
          </w:tcPr>
          <w:p w14:paraId="2E4680CA" w14:textId="77777777" w:rsidR="00293BE0" w:rsidRPr="00293BE0" w:rsidRDefault="00293BE0" w:rsidP="00293BE0">
            <w:pPr>
              <w:contextualSpacing/>
              <w:jc w:val="both"/>
              <w:rPr>
                <w:rFonts w:eastAsia="Calibri"/>
                <w:color w:val="000000"/>
                <w:sz w:val="16"/>
                <w:szCs w:val="16"/>
                <w:lang w:val="tr-TR"/>
              </w:rPr>
            </w:pPr>
            <w:r w:rsidRPr="00293BE0">
              <w:rPr>
                <w:rFonts w:eastAsia="Calibri"/>
                <w:color w:val="000000"/>
                <w:sz w:val="16"/>
                <w:szCs w:val="16"/>
                <w:lang w:val="tr-TR"/>
              </w:rPr>
              <w:t>.045*</w:t>
            </w:r>
          </w:p>
        </w:tc>
      </w:tr>
    </w:tbl>
    <w:p w14:paraId="3FD2BACC" w14:textId="77777777" w:rsidR="00293BE0" w:rsidRPr="00293BE0" w:rsidRDefault="00293BE0" w:rsidP="00293BE0">
      <w:pPr>
        <w:jc w:val="both"/>
        <w:rPr>
          <w:color w:val="000000"/>
          <w:sz w:val="16"/>
          <w:szCs w:val="16"/>
          <w:lang w:val="en-GB" w:eastAsia="en-GB"/>
        </w:rPr>
      </w:pPr>
      <w:r w:rsidRPr="00293BE0">
        <w:rPr>
          <w:color w:val="000000"/>
          <w:lang w:val="en-GB" w:eastAsia="en-GB"/>
        </w:rPr>
        <w:t xml:space="preserve">                   </w:t>
      </w:r>
      <w:r w:rsidRPr="00293BE0">
        <w:rPr>
          <w:color w:val="000000"/>
          <w:sz w:val="16"/>
          <w:szCs w:val="16"/>
          <w:lang w:val="en-GB" w:eastAsia="en-GB"/>
        </w:rPr>
        <w:t>*p&lt;.05</w:t>
      </w:r>
    </w:p>
    <w:p w14:paraId="1254F4CF" w14:textId="77777777" w:rsidR="00293BE0" w:rsidRPr="00293BE0" w:rsidRDefault="00293BE0" w:rsidP="00293BE0">
      <w:pPr>
        <w:jc w:val="both"/>
        <w:rPr>
          <w:lang w:val="en-GB" w:eastAsia="en-GB"/>
        </w:rPr>
      </w:pPr>
    </w:p>
    <w:p w14:paraId="604074BA" w14:textId="77777777" w:rsidR="00293BE0" w:rsidRPr="00293BE0" w:rsidRDefault="00293BE0" w:rsidP="00293BE0">
      <w:pPr>
        <w:ind w:firstLine="720"/>
        <w:jc w:val="both"/>
        <w:rPr>
          <w:lang w:val="en-GB" w:eastAsia="en-GB"/>
        </w:rPr>
      </w:pPr>
      <w:r w:rsidRPr="00293BE0">
        <w:rPr>
          <w:lang w:val="en-GB" w:eastAsia="en-GB"/>
        </w:rPr>
        <w:t>When Table 5 is examined, a significant difference was found between the total score averages of the social acceptance scale subscales, "student behaviour" subscale, and "social acceptance scale", according to the number of siblings of the participants with normal development. Accordingly, students with 3 or more siblings have a higher level of positive social acceptance than students with 1 sibling. However, no significant difference was found according to the "Peer Attitude" and social skills subscale, which are the subscales of the social acceptance scale.</w:t>
      </w:r>
    </w:p>
    <w:p w14:paraId="0FB1FF18" w14:textId="77777777" w:rsidR="00293BE0" w:rsidRDefault="00293BE0" w:rsidP="00904D6D">
      <w:pPr>
        <w:rPr>
          <w:b/>
          <w:bCs/>
          <w:lang w:val="id-ID"/>
        </w:rPr>
      </w:pPr>
    </w:p>
    <w:p w14:paraId="146BB264" w14:textId="77777777" w:rsidR="0068194E" w:rsidRDefault="0068194E" w:rsidP="00904D6D">
      <w:pPr>
        <w:rPr>
          <w:b/>
          <w:bCs/>
          <w:lang w:val="id-ID"/>
        </w:rPr>
      </w:pPr>
    </w:p>
    <w:p w14:paraId="4983BAC0" w14:textId="684D207D" w:rsidR="00BD080B" w:rsidRPr="00BD080B" w:rsidRDefault="00BD080B" w:rsidP="00BD080B">
      <w:pPr>
        <w:rPr>
          <w:b/>
          <w:lang w:val="en-GB" w:eastAsia="en-GB"/>
        </w:rPr>
      </w:pPr>
      <w:r>
        <w:rPr>
          <w:b/>
          <w:bCs/>
          <w:lang w:val="tr-TR"/>
        </w:rPr>
        <w:t xml:space="preserve">4. </w:t>
      </w:r>
      <w:r w:rsidRPr="00BD080B">
        <w:rPr>
          <w:b/>
          <w:lang w:val="en-GB" w:eastAsia="en-GB"/>
        </w:rPr>
        <w:t>DISCUSSION, CONCLUSION and SUGGESTIONS</w:t>
      </w:r>
    </w:p>
    <w:p w14:paraId="5ABEBF4C" w14:textId="1AFAFF42" w:rsidR="00EF738C" w:rsidRPr="00EF738C" w:rsidRDefault="00EF738C" w:rsidP="00E001C0">
      <w:pPr>
        <w:jc w:val="both"/>
        <w:rPr>
          <w:rFonts w:eastAsia="Calibri"/>
          <w:lang w:val="tr-TR"/>
        </w:rPr>
      </w:pPr>
      <w:r w:rsidRPr="00EF738C">
        <w:rPr>
          <w:lang w:val="en-GB" w:eastAsia="en-GB"/>
        </w:rPr>
        <w:t xml:space="preserve">In general when the results of the study were evaluated, it was seen that the average score of "peer attitude" of female students was higher than male students. In this context, female students with normal development have found a higher level of positive peer attitudes towards disable students than male students. This situation can be explained by the fact that females' social skills and communication skills are at a higher level than male </w:t>
      </w:r>
      <w:r w:rsidRPr="00EF738C">
        <w:rPr>
          <w:lang w:val="en-GB" w:eastAsia="en-GB"/>
        </w:rPr>
        <w:lastRenderedPageBreak/>
        <w:t xml:space="preserve">students and that females are better than males in disclosing and expressing themselves. In general social acceptance, no significant difference was found in terms of gender. </w:t>
      </w:r>
      <w:proofErr w:type="spellStart"/>
      <w:r w:rsidR="009D3E7E" w:rsidRPr="00EF738C">
        <w:rPr>
          <w:lang w:val="en-GB" w:eastAsia="en-GB"/>
        </w:rPr>
        <w:t>Aktan</w:t>
      </w:r>
      <w:proofErr w:type="spellEnd"/>
      <w:r w:rsidR="009D3E7E" w:rsidRPr="00EF738C">
        <w:rPr>
          <w:lang w:val="en-GB" w:eastAsia="en-GB"/>
        </w:rPr>
        <w:t xml:space="preserve">, </w:t>
      </w:r>
      <w:proofErr w:type="spellStart"/>
      <w:r w:rsidR="009D3E7E" w:rsidRPr="00EF738C">
        <w:rPr>
          <w:lang w:val="en-GB" w:eastAsia="en-GB"/>
        </w:rPr>
        <w:t>Budak</w:t>
      </w:r>
      <w:proofErr w:type="spellEnd"/>
      <w:r w:rsidR="009D3E7E" w:rsidRPr="00EF738C">
        <w:rPr>
          <w:lang w:val="en-GB" w:eastAsia="en-GB"/>
        </w:rPr>
        <w:t xml:space="preserve">, and </w:t>
      </w:r>
      <w:proofErr w:type="spellStart"/>
      <w:r w:rsidR="009D3E7E" w:rsidRPr="00EF738C">
        <w:rPr>
          <w:lang w:val="en-GB" w:eastAsia="en-GB"/>
        </w:rPr>
        <w:t>Botabekovna</w:t>
      </w:r>
      <w:proofErr w:type="spellEnd"/>
      <w:r w:rsidR="009D3E7E">
        <w:rPr>
          <w:lang w:val="en-GB" w:eastAsia="en-GB"/>
        </w:rPr>
        <w:t xml:space="preserve"> </w:t>
      </w:r>
      <w:r w:rsidR="00C84B80">
        <w:rPr>
          <w:lang w:val="en-GB" w:eastAsia="en-GB"/>
        </w:rPr>
        <w:t xml:space="preserve">[4], </w:t>
      </w:r>
      <w:proofErr w:type="spellStart"/>
      <w:r w:rsidR="003E4861">
        <w:rPr>
          <w:lang w:val="en-GB" w:eastAsia="en-GB"/>
        </w:rPr>
        <w:t>Karatas</w:t>
      </w:r>
      <w:proofErr w:type="spellEnd"/>
      <w:r w:rsidRPr="00EF738C">
        <w:rPr>
          <w:lang w:val="en-GB" w:eastAsia="en-GB"/>
        </w:rPr>
        <w:t xml:space="preserve"> and </w:t>
      </w:r>
      <w:proofErr w:type="spellStart"/>
      <w:r w:rsidRPr="00EF738C">
        <w:rPr>
          <w:lang w:val="en-GB" w:eastAsia="en-GB"/>
        </w:rPr>
        <w:t>Arslan</w:t>
      </w:r>
      <w:proofErr w:type="spellEnd"/>
      <w:r w:rsidRPr="00EF738C">
        <w:rPr>
          <w:lang w:val="en-GB" w:eastAsia="en-GB"/>
        </w:rPr>
        <w:t xml:space="preserve"> </w:t>
      </w:r>
      <w:r w:rsidR="00AC4B77">
        <w:rPr>
          <w:lang w:val="en-GB" w:eastAsia="en-GB"/>
        </w:rPr>
        <w:t xml:space="preserve">[35] </w:t>
      </w:r>
      <w:r w:rsidRPr="00EF738C">
        <w:rPr>
          <w:lang w:val="en-GB" w:eastAsia="en-GB"/>
        </w:rPr>
        <w:t>found a significant difference between social acceptance level and gen</w:t>
      </w:r>
      <w:r w:rsidR="00E001C0">
        <w:rPr>
          <w:lang w:val="en-GB" w:eastAsia="en-GB"/>
        </w:rPr>
        <w:t xml:space="preserve">der in their study. </w:t>
      </w:r>
      <w:proofErr w:type="spellStart"/>
      <w:r w:rsidR="00E001C0" w:rsidRPr="007E1F56">
        <w:rPr>
          <w:rFonts w:eastAsia="Calibri"/>
          <w:color w:val="000000"/>
          <w:lang w:val="en-GB" w:eastAsia="en-GB"/>
        </w:rPr>
        <w:t>Ayra</w:t>
      </w:r>
      <w:r w:rsidR="00243135">
        <w:rPr>
          <w:rFonts w:eastAsia="Calibri"/>
          <w:color w:val="000000"/>
          <w:lang w:val="en-GB" w:eastAsia="en-GB"/>
        </w:rPr>
        <w:t>l</w:t>
      </w:r>
      <w:proofErr w:type="spellEnd"/>
      <w:r w:rsidR="00243135">
        <w:rPr>
          <w:rFonts w:eastAsia="Calibri"/>
          <w:color w:val="000000"/>
          <w:lang w:val="en-GB" w:eastAsia="en-GB"/>
        </w:rPr>
        <w:t xml:space="preserve">, </w:t>
      </w:r>
      <w:proofErr w:type="spellStart"/>
      <w:r w:rsidR="00243135">
        <w:rPr>
          <w:rFonts w:eastAsia="Calibri"/>
          <w:color w:val="000000"/>
          <w:lang w:val="en-GB" w:eastAsia="en-GB"/>
        </w:rPr>
        <w:t>O</w:t>
      </w:r>
      <w:r w:rsidR="00E001C0" w:rsidRPr="00E001C0">
        <w:rPr>
          <w:rFonts w:eastAsia="Calibri"/>
          <w:color w:val="000000"/>
          <w:lang w:val="en-GB" w:eastAsia="en-GB"/>
        </w:rPr>
        <w:t>zcan</w:t>
      </w:r>
      <w:proofErr w:type="spellEnd"/>
      <w:r w:rsidR="00E001C0" w:rsidRPr="00E001C0">
        <w:rPr>
          <w:rFonts w:eastAsia="Calibri"/>
          <w:color w:val="000000"/>
          <w:lang w:val="en-GB" w:eastAsia="en-GB"/>
        </w:rPr>
        <w:t xml:space="preserve">, Can, </w:t>
      </w:r>
      <w:proofErr w:type="spellStart"/>
      <w:r w:rsidR="00243135">
        <w:rPr>
          <w:rFonts w:eastAsia="Calibri"/>
          <w:color w:val="000000"/>
          <w:lang w:val="en-GB" w:eastAsia="en-GB"/>
        </w:rPr>
        <w:t>U</w:t>
      </w:r>
      <w:r w:rsidR="00D422BD">
        <w:rPr>
          <w:rFonts w:eastAsia="Calibri"/>
          <w:color w:val="000000"/>
          <w:lang w:val="en-GB" w:eastAsia="en-GB"/>
        </w:rPr>
        <w:t>nlu</w:t>
      </w:r>
      <w:proofErr w:type="spellEnd"/>
      <w:r w:rsidR="00E001C0" w:rsidRPr="007E1F56">
        <w:rPr>
          <w:rFonts w:eastAsia="Calibri"/>
          <w:color w:val="000000"/>
          <w:lang w:val="en-GB" w:eastAsia="en-GB"/>
        </w:rPr>
        <w:t>,</w:t>
      </w:r>
      <w:r w:rsidR="00243135">
        <w:rPr>
          <w:rFonts w:eastAsia="Calibri"/>
          <w:color w:val="000000"/>
          <w:lang w:val="en-GB" w:eastAsia="en-GB"/>
        </w:rPr>
        <w:t xml:space="preserve"> </w:t>
      </w:r>
      <w:proofErr w:type="spellStart"/>
      <w:r w:rsidR="00243135">
        <w:rPr>
          <w:rFonts w:eastAsia="Calibri"/>
          <w:color w:val="000000"/>
          <w:lang w:val="en-GB" w:eastAsia="en-GB"/>
        </w:rPr>
        <w:t>Bedel</w:t>
      </w:r>
      <w:proofErr w:type="spellEnd"/>
      <w:r w:rsidR="00243135">
        <w:rPr>
          <w:rFonts w:eastAsia="Calibri"/>
          <w:color w:val="000000"/>
          <w:lang w:val="en-GB" w:eastAsia="en-GB"/>
        </w:rPr>
        <w:t xml:space="preserve">, </w:t>
      </w:r>
      <w:proofErr w:type="spellStart"/>
      <w:r w:rsidR="00243135">
        <w:rPr>
          <w:rFonts w:eastAsia="Calibri"/>
          <w:color w:val="000000"/>
          <w:lang w:val="en-GB" w:eastAsia="en-GB"/>
        </w:rPr>
        <w:t>Sengu</w:t>
      </w:r>
      <w:r w:rsidR="00E001C0" w:rsidRPr="00E001C0">
        <w:rPr>
          <w:rFonts w:eastAsia="Calibri"/>
          <w:color w:val="000000"/>
          <w:lang w:val="en-GB" w:eastAsia="en-GB"/>
        </w:rPr>
        <w:t>n</w:t>
      </w:r>
      <w:proofErr w:type="spellEnd"/>
      <w:r w:rsidR="00E001C0" w:rsidRPr="00E001C0">
        <w:rPr>
          <w:rFonts w:eastAsia="Calibri"/>
          <w:color w:val="000000"/>
          <w:lang w:val="en-GB" w:eastAsia="en-GB"/>
        </w:rPr>
        <w:t xml:space="preserve">, </w:t>
      </w:r>
      <w:proofErr w:type="spellStart"/>
      <w:r w:rsidR="00E001C0" w:rsidRPr="007E1F56">
        <w:rPr>
          <w:rFonts w:eastAsia="Calibri"/>
          <w:color w:val="000000"/>
          <w:lang w:val="en-GB" w:eastAsia="en-GB"/>
        </w:rPr>
        <w:t>Demirhan</w:t>
      </w:r>
      <w:proofErr w:type="spellEnd"/>
      <w:r w:rsidR="00E001C0" w:rsidRPr="007E1F56">
        <w:rPr>
          <w:rFonts w:eastAsia="Calibri"/>
          <w:color w:val="000000"/>
          <w:lang w:val="en-GB" w:eastAsia="en-GB"/>
        </w:rPr>
        <w:t xml:space="preserve"> and</w:t>
      </w:r>
      <w:r w:rsidR="00E001C0" w:rsidRPr="00E001C0">
        <w:rPr>
          <w:rFonts w:eastAsia="Calibri"/>
          <w:color w:val="000000"/>
          <w:lang w:val="en-GB" w:eastAsia="en-GB"/>
        </w:rPr>
        <w:t xml:space="preserve"> </w:t>
      </w:r>
      <w:proofErr w:type="spellStart"/>
      <w:r w:rsidR="00243135">
        <w:rPr>
          <w:rFonts w:eastAsia="Calibri"/>
          <w:color w:val="000000"/>
          <w:lang w:val="en-GB" w:eastAsia="en-GB"/>
        </w:rPr>
        <w:t>Cag</w:t>
      </w:r>
      <w:r w:rsidR="00E001C0" w:rsidRPr="007E1F56">
        <w:rPr>
          <w:rFonts w:eastAsia="Calibri"/>
          <w:color w:val="000000"/>
          <w:lang w:val="en-GB" w:eastAsia="en-GB"/>
        </w:rPr>
        <w:t>lar</w:t>
      </w:r>
      <w:proofErr w:type="spellEnd"/>
      <w:r w:rsidR="00E001C0">
        <w:rPr>
          <w:rFonts w:eastAsia="Calibri"/>
          <w:lang w:val="tr-TR"/>
        </w:rPr>
        <w:t xml:space="preserve"> </w:t>
      </w:r>
      <w:r w:rsidR="008E235E">
        <w:rPr>
          <w:lang w:val="en-GB" w:eastAsia="en-GB"/>
        </w:rPr>
        <w:t xml:space="preserve">[36] </w:t>
      </w:r>
      <w:r w:rsidRPr="00EF738C">
        <w:rPr>
          <w:lang w:val="en-GB" w:eastAsia="en-GB"/>
        </w:rPr>
        <w:t>found that there is no significant difference between social acceptance and gender in their study, where they examined social acceptance levels of inclusive students. These research findings support the findings of the present study.</w:t>
      </w:r>
    </w:p>
    <w:p w14:paraId="62BDA744" w14:textId="608FF72C" w:rsidR="00EF738C" w:rsidRPr="00EF738C" w:rsidRDefault="00EF738C" w:rsidP="00EF738C">
      <w:pPr>
        <w:ind w:firstLine="720"/>
        <w:jc w:val="both"/>
        <w:rPr>
          <w:bdr w:val="none" w:sz="0" w:space="0" w:color="auto" w:frame="1"/>
          <w:lang w:val="en-GB" w:eastAsia="en-GB"/>
        </w:rPr>
      </w:pPr>
      <w:r w:rsidRPr="00EF738C">
        <w:rPr>
          <w:lang w:val="en-GB" w:eastAsia="en-GB"/>
        </w:rPr>
        <w:t>No significant difference was found between the total scores of the social acceptance scale subscales, "social skills" and "student behaviour" subscales and "social acceptance scale" according to the grade level of students with normal development. However, a significant difference was found according to the "Peer Attitude" subscale of the social acceptance scale. Accordingly, 6</w:t>
      </w:r>
      <w:r w:rsidRPr="00EF738C">
        <w:rPr>
          <w:vertAlign w:val="superscript"/>
          <w:lang w:val="en-GB" w:eastAsia="en-GB"/>
        </w:rPr>
        <w:t>th</w:t>
      </w:r>
      <w:r w:rsidRPr="00EF738C">
        <w:rPr>
          <w:lang w:val="en-GB" w:eastAsia="en-GB"/>
        </w:rPr>
        <w:t xml:space="preserve"> grade students' average of “peer attitude” towards disable students is higher than 7</w:t>
      </w:r>
      <w:r w:rsidRPr="00EF738C">
        <w:rPr>
          <w:vertAlign w:val="superscript"/>
          <w:lang w:val="en-GB" w:eastAsia="en-GB"/>
        </w:rPr>
        <w:t>th</w:t>
      </w:r>
      <w:r w:rsidRPr="00EF738C">
        <w:rPr>
          <w:lang w:val="en-GB" w:eastAsia="en-GB"/>
        </w:rPr>
        <w:t xml:space="preserve"> grade students. Concordantly, it can be said that as the grade level increases, the positive peer attitudes of students towards students with disability decrease. </w:t>
      </w:r>
      <w:proofErr w:type="spellStart"/>
      <w:r w:rsidRPr="00EF738C">
        <w:rPr>
          <w:lang w:val="en-GB" w:eastAsia="en-GB"/>
        </w:rPr>
        <w:t>Civelek</w:t>
      </w:r>
      <w:proofErr w:type="spellEnd"/>
      <w:r w:rsidR="00AD3188">
        <w:rPr>
          <w:lang w:val="en-GB" w:eastAsia="en-GB"/>
        </w:rPr>
        <w:t xml:space="preserve"> [6] </w:t>
      </w:r>
      <w:r w:rsidRPr="00EF738C">
        <w:rPr>
          <w:lang w:val="en-GB" w:eastAsia="en-GB"/>
        </w:rPr>
        <w:t>found in his study that students with low social acceptance level were not accepted by their peers, causing them to feel inadequate, behave more negatively and avoid</w:t>
      </w:r>
      <w:r w:rsidR="00193DF1">
        <w:rPr>
          <w:lang w:val="en-GB" w:eastAsia="en-GB"/>
        </w:rPr>
        <w:t xml:space="preserve"> social relationships. In </w:t>
      </w:r>
      <w:proofErr w:type="spellStart"/>
      <w:r w:rsidR="00193DF1">
        <w:rPr>
          <w:lang w:val="en-GB" w:eastAsia="en-GB"/>
        </w:rPr>
        <w:t>Sucuoglu</w:t>
      </w:r>
      <w:proofErr w:type="spellEnd"/>
      <w:r w:rsidR="00193DF1">
        <w:rPr>
          <w:lang w:val="en-GB" w:eastAsia="en-GB"/>
        </w:rPr>
        <w:t xml:space="preserve"> and </w:t>
      </w:r>
      <w:proofErr w:type="spellStart"/>
      <w:r w:rsidR="00193DF1">
        <w:rPr>
          <w:lang w:val="en-GB" w:eastAsia="en-GB"/>
        </w:rPr>
        <w:t>Ozokc</w:t>
      </w:r>
      <w:r w:rsidRPr="00EF738C">
        <w:rPr>
          <w:lang w:val="en-GB" w:eastAsia="en-GB"/>
        </w:rPr>
        <w:t>u</w:t>
      </w:r>
      <w:proofErr w:type="spellEnd"/>
      <w:r w:rsidRPr="00EF738C">
        <w:rPr>
          <w:lang w:val="en-GB" w:eastAsia="en-GB"/>
        </w:rPr>
        <w:t xml:space="preserve"> </w:t>
      </w:r>
      <w:r w:rsidR="00397B51">
        <w:rPr>
          <w:lang w:val="en-GB" w:eastAsia="en-GB"/>
        </w:rPr>
        <w:t xml:space="preserve">[37] </w:t>
      </w:r>
      <w:r w:rsidRPr="00EF738C">
        <w:rPr>
          <w:lang w:val="en-GB" w:eastAsia="en-GB"/>
        </w:rPr>
        <w:t xml:space="preserve">studies; they found that the social skills and academic competence of normally developing students were less than their peers, and their problematic behaviours were higher than their peers. </w:t>
      </w:r>
      <w:proofErr w:type="spellStart"/>
      <w:r w:rsidRPr="00EF738C">
        <w:rPr>
          <w:lang w:val="en-GB" w:eastAsia="en-GB"/>
        </w:rPr>
        <w:t>Petry</w:t>
      </w:r>
      <w:proofErr w:type="spellEnd"/>
      <w:r w:rsidRPr="00EF738C">
        <w:rPr>
          <w:lang w:val="en-GB" w:eastAsia="en-GB"/>
        </w:rPr>
        <w:t xml:space="preserve"> </w:t>
      </w:r>
      <w:r w:rsidR="00993A25">
        <w:rPr>
          <w:lang w:val="en-GB" w:eastAsia="en-GB"/>
        </w:rPr>
        <w:t>[38]</w:t>
      </w:r>
      <w:r w:rsidRPr="00EF738C">
        <w:rPr>
          <w:lang w:val="en-GB" w:eastAsia="en-GB"/>
        </w:rPr>
        <w:t>, found that normal students generally have neutral attitudes towards their disabled peers at grade level, but social acceptance level varies ac</w:t>
      </w:r>
      <w:r w:rsidR="00A11C2D">
        <w:rPr>
          <w:lang w:val="en-GB" w:eastAsia="en-GB"/>
        </w:rPr>
        <w:t xml:space="preserve">cording to disability status. </w:t>
      </w:r>
      <w:proofErr w:type="spellStart"/>
      <w:r w:rsidR="00A11C2D">
        <w:rPr>
          <w:lang w:val="en-GB" w:eastAsia="en-GB"/>
        </w:rPr>
        <w:t>Gu</w:t>
      </w:r>
      <w:r w:rsidRPr="00EF738C">
        <w:rPr>
          <w:lang w:val="en-GB" w:eastAsia="en-GB"/>
        </w:rPr>
        <w:t>rkan</w:t>
      </w:r>
      <w:proofErr w:type="spellEnd"/>
      <w:r w:rsidRPr="00EF738C">
        <w:rPr>
          <w:lang w:val="en-GB" w:eastAsia="en-GB"/>
        </w:rPr>
        <w:t xml:space="preserve"> </w:t>
      </w:r>
      <w:r w:rsidR="009C3F75">
        <w:rPr>
          <w:lang w:val="en-GB" w:eastAsia="en-GB"/>
        </w:rPr>
        <w:t>[39]</w:t>
      </w:r>
      <w:r w:rsidRPr="00EF738C">
        <w:rPr>
          <w:lang w:val="en-GB" w:eastAsia="en-GB"/>
        </w:rPr>
        <w:t>,</w:t>
      </w:r>
      <w:r w:rsidRPr="00EF738C">
        <w:rPr>
          <w:color w:val="FF0000"/>
          <w:bdr w:val="none" w:sz="0" w:space="0" w:color="auto" w:frame="1"/>
          <w:lang w:val="en-GB" w:eastAsia="en-GB"/>
        </w:rPr>
        <w:t xml:space="preserve"> </w:t>
      </w:r>
      <w:r w:rsidRPr="00EF738C">
        <w:rPr>
          <w:bdr w:val="none" w:sz="0" w:space="0" w:color="auto" w:frame="1"/>
          <w:lang w:val="en-GB" w:eastAsia="en-GB"/>
        </w:rPr>
        <w:t>peers who are educated together with disabled children can become aware of personal differences and develop a positive attitude towards these differences.</w:t>
      </w:r>
      <w:r w:rsidRPr="00EF738C">
        <w:rPr>
          <w:color w:val="FF0000"/>
          <w:bdr w:val="none" w:sz="0" w:space="0" w:color="auto" w:frame="1"/>
          <w:lang w:val="en-GB" w:eastAsia="en-GB"/>
        </w:rPr>
        <w:t xml:space="preserve"> </w:t>
      </w:r>
      <w:proofErr w:type="spellStart"/>
      <w:r w:rsidR="005A5CE7">
        <w:rPr>
          <w:bdr w:val="none" w:sz="0" w:space="0" w:color="auto" w:frame="1"/>
          <w:lang w:val="en-GB" w:eastAsia="en-GB"/>
        </w:rPr>
        <w:t>Kahveci</w:t>
      </w:r>
      <w:proofErr w:type="spellEnd"/>
      <w:r w:rsidR="005A5CE7">
        <w:rPr>
          <w:bdr w:val="none" w:sz="0" w:space="0" w:color="auto" w:frame="1"/>
          <w:lang w:val="en-GB" w:eastAsia="en-GB"/>
        </w:rPr>
        <w:t xml:space="preserve"> and </w:t>
      </w:r>
      <w:proofErr w:type="spellStart"/>
      <w:r w:rsidR="005A5CE7">
        <w:rPr>
          <w:bdr w:val="none" w:sz="0" w:space="0" w:color="auto" w:frame="1"/>
          <w:lang w:val="en-GB" w:eastAsia="en-GB"/>
        </w:rPr>
        <w:t>Serin</w:t>
      </w:r>
      <w:proofErr w:type="spellEnd"/>
      <w:r w:rsidR="005A5CE7">
        <w:rPr>
          <w:bdr w:val="none" w:sz="0" w:space="0" w:color="auto" w:frame="1"/>
          <w:lang w:val="en-GB" w:eastAsia="en-GB"/>
        </w:rPr>
        <w:t xml:space="preserve"> [21]</w:t>
      </w:r>
      <w:r w:rsidRPr="00EF738C">
        <w:rPr>
          <w:bdr w:val="none" w:sz="0" w:space="0" w:color="auto" w:frame="1"/>
          <w:lang w:val="en-GB" w:eastAsia="en-GB"/>
        </w:rPr>
        <w:t>,</w:t>
      </w:r>
      <w:r w:rsidRPr="00EF738C">
        <w:rPr>
          <w:lang w:val="en-GB" w:eastAsia="en-GB"/>
        </w:rPr>
        <w:t xml:space="preserve"> results show immediate improvements in disruptive and aggressive behaviour. Additionally, follow up observations revealed maintenance of intervention effects. Although use of a multiple baseline design had restricted use in experimental control, preliminary results indicate that the Individualized Social Skills Program may be useful for eliminating disruptive and aggressive behaviours.</w:t>
      </w:r>
    </w:p>
    <w:p w14:paraId="20C6C1AF" w14:textId="058D1FBF" w:rsidR="00EF738C" w:rsidRPr="00EF738C" w:rsidRDefault="00EF738C" w:rsidP="00EF738C">
      <w:pPr>
        <w:ind w:firstLine="720"/>
        <w:jc w:val="both"/>
        <w:rPr>
          <w:lang w:val="en-GB" w:eastAsia="en-GB"/>
        </w:rPr>
      </w:pPr>
      <w:r w:rsidRPr="00EF738C">
        <w:rPr>
          <w:lang w:val="en-GB" w:eastAsia="en-GB"/>
        </w:rPr>
        <w:t>According to the number of siblings of the participants, a significant difference was found between the "student behaviour" subscale of the social acceptance scale and the total score averages of the "social acceptance scale". Students with three or more siblings have a higher level of positive social acceptance than students with only one sibling. This situation can be explained as having more than one sibling creates a positive environment for students to increase their communication and social skills and these students increase their social acceptance towards disable stud</w:t>
      </w:r>
      <w:r w:rsidR="00825860">
        <w:rPr>
          <w:lang w:val="en-GB" w:eastAsia="en-GB"/>
        </w:rPr>
        <w:t xml:space="preserve">ents. </w:t>
      </w:r>
      <w:proofErr w:type="spellStart"/>
      <w:r w:rsidR="00825860">
        <w:rPr>
          <w:lang w:val="en-GB" w:eastAsia="en-GB"/>
        </w:rPr>
        <w:t>Gu</w:t>
      </w:r>
      <w:r w:rsidRPr="00EF738C">
        <w:rPr>
          <w:lang w:val="en-GB" w:eastAsia="en-GB"/>
        </w:rPr>
        <w:t>lay</w:t>
      </w:r>
      <w:proofErr w:type="spellEnd"/>
      <w:r w:rsidRPr="00EF738C">
        <w:rPr>
          <w:lang w:val="en-GB" w:eastAsia="en-GB"/>
        </w:rPr>
        <w:t xml:space="preserve"> </w:t>
      </w:r>
      <w:r w:rsidR="00CE43FD">
        <w:rPr>
          <w:lang w:val="en-GB" w:eastAsia="en-GB"/>
        </w:rPr>
        <w:t xml:space="preserve">[40] </w:t>
      </w:r>
      <w:r w:rsidRPr="00EF738C">
        <w:rPr>
          <w:lang w:val="en-GB" w:eastAsia="en-GB"/>
        </w:rPr>
        <w:t xml:space="preserve">found that the social skills that children learn as a result of sibling relationships vary according to the number of siblings, and Sarı </w:t>
      </w:r>
      <w:r w:rsidR="00CE43FD">
        <w:rPr>
          <w:lang w:val="en-GB" w:eastAsia="en-GB"/>
        </w:rPr>
        <w:t xml:space="preserve">[41] </w:t>
      </w:r>
      <w:r w:rsidRPr="00EF738C">
        <w:rPr>
          <w:lang w:val="en-GB" w:eastAsia="en-GB"/>
        </w:rPr>
        <w:t xml:space="preserve">found that social adaptation and social skills of children with their peers differ significantly according to the number of siblings. The present study supports the findings. </w:t>
      </w:r>
      <w:proofErr w:type="spellStart"/>
      <w:r w:rsidRPr="00EF738C">
        <w:rPr>
          <w:lang w:val="en-GB" w:eastAsia="en-GB"/>
        </w:rPr>
        <w:t>Ayral</w:t>
      </w:r>
      <w:proofErr w:type="spellEnd"/>
      <w:r w:rsidRPr="00EF738C">
        <w:rPr>
          <w:lang w:val="en-GB" w:eastAsia="en-GB"/>
        </w:rPr>
        <w:t xml:space="preserve"> et al. </w:t>
      </w:r>
      <w:r w:rsidR="008E235E">
        <w:rPr>
          <w:lang w:val="en-GB" w:eastAsia="en-GB"/>
        </w:rPr>
        <w:t>[36]</w:t>
      </w:r>
      <w:r w:rsidR="00FB3AA3">
        <w:rPr>
          <w:lang w:val="en-GB" w:eastAsia="en-GB"/>
        </w:rPr>
        <w:t xml:space="preserve">; </w:t>
      </w:r>
      <w:proofErr w:type="spellStart"/>
      <w:r w:rsidR="00FB3AA3">
        <w:rPr>
          <w:lang w:val="en-GB" w:eastAsia="en-GB"/>
        </w:rPr>
        <w:t>Karatas</w:t>
      </w:r>
      <w:proofErr w:type="spellEnd"/>
      <w:r w:rsidRPr="00EF738C">
        <w:rPr>
          <w:lang w:val="en-GB" w:eastAsia="en-GB"/>
        </w:rPr>
        <w:t xml:space="preserve"> and </w:t>
      </w:r>
      <w:proofErr w:type="spellStart"/>
      <w:r w:rsidRPr="00EF738C">
        <w:rPr>
          <w:lang w:val="en-GB" w:eastAsia="en-GB"/>
        </w:rPr>
        <w:t>Arslan</w:t>
      </w:r>
      <w:proofErr w:type="spellEnd"/>
      <w:r w:rsidRPr="00EF738C">
        <w:rPr>
          <w:lang w:val="en-GB" w:eastAsia="en-GB"/>
        </w:rPr>
        <w:t xml:space="preserve"> </w:t>
      </w:r>
      <w:r w:rsidR="008E235E">
        <w:rPr>
          <w:lang w:val="en-GB" w:eastAsia="en-GB"/>
        </w:rPr>
        <w:t xml:space="preserve">[35] </w:t>
      </w:r>
      <w:r w:rsidRPr="00EF738C">
        <w:rPr>
          <w:lang w:val="en-GB" w:eastAsia="en-GB"/>
        </w:rPr>
        <w:t xml:space="preserve">in their studies; they concluded that there was no relationship between the number of siblings and the social acceptance level of the mainstreaming student. No significant difference was found between the Social Acceptance Scale and its subscales mean scores according to whether there is a family member with disability or not. </w:t>
      </w:r>
      <w:proofErr w:type="spellStart"/>
      <w:r w:rsidRPr="00EF738C">
        <w:rPr>
          <w:lang w:val="en-GB" w:eastAsia="en-GB"/>
        </w:rPr>
        <w:t>Ayral</w:t>
      </w:r>
      <w:proofErr w:type="spellEnd"/>
      <w:r w:rsidRPr="00EF738C">
        <w:rPr>
          <w:lang w:val="en-GB" w:eastAsia="en-GB"/>
        </w:rPr>
        <w:t xml:space="preserve"> et al. </w:t>
      </w:r>
      <w:r w:rsidR="00E001C0">
        <w:rPr>
          <w:lang w:val="en-GB" w:eastAsia="en-GB"/>
        </w:rPr>
        <w:t xml:space="preserve">[36] </w:t>
      </w:r>
      <w:r w:rsidRPr="00EF738C">
        <w:rPr>
          <w:lang w:val="en-GB" w:eastAsia="en-GB"/>
        </w:rPr>
        <w:t xml:space="preserve">found that students' having a disabled sibling did not affect their level of social acceptance. This finding supports the current research. </w:t>
      </w:r>
      <w:proofErr w:type="spellStart"/>
      <w:r w:rsidRPr="00EF738C">
        <w:rPr>
          <w:lang w:val="en-GB" w:eastAsia="en-GB"/>
        </w:rPr>
        <w:t>Aktan</w:t>
      </w:r>
      <w:proofErr w:type="spellEnd"/>
      <w:r w:rsidRPr="00EF738C">
        <w:rPr>
          <w:lang w:val="en-GB" w:eastAsia="en-GB"/>
        </w:rPr>
        <w:t xml:space="preserve">, </w:t>
      </w:r>
      <w:proofErr w:type="spellStart"/>
      <w:r w:rsidRPr="00EF738C">
        <w:rPr>
          <w:lang w:val="en-GB" w:eastAsia="en-GB"/>
        </w:rPr>
        <w:t>Budak</w:t>
      </w:r>
      <w:proofErr w:type="spellEnd"/>
      <w:r w:rsidRPr="00EF738C">
        <w:rPr>
          <w:lang w:val="en-GB" w:eastAsia="en-GB"/>
        </w:rPr>
        <w:t xml:space="preserve">, and </w:t>
      </w:r>
      <w:proofErr w:type="spellStart"/>
      <w:r w:rsidRPr="00EF738C">
        <w:rPr>
          <w:lang w:val="en-GB" w:eastAsia="en-GB"/>
        </w:rPr>
        <w:t>Botabekovna</w:t>
      </w:r>
      <w:proofErr w:type="spellEnd"/>
      <w:r w:rsidRPr="00EF738C">
        <w:rPr>
          <w:lang w:val="en-GB" w:eastAsia="en-GB"/>
        </w:rPr>
        <w:t xml:space="preserve"> </w:t>
      </w:r>
      <w:r w:rsidR="00107D1B">
        <w:rPr>
          <w:lang w:val="en-GB" w:eastAsia="en-GB"/>
        </w:rPr>
        <w:t xml:space="preserve">[4] </w:t>
      </w:r>
      <w:r w:rsidRPr="00EF738C">
        <w:rPr>
          <w:lang w:val="en-GB" w:eastAsia="en-GB"/>
        </w:rPr>
        <w:t>found in their study that there was no significant difference between the social acceptance levels of individuals with disables according to whether there is a person with disables in their family and</w:t>
      </w:r>
      <w:r w:rsidR="00C738E6">
        <w:rPr>
          <w:lang w:val="en-GB" w:eastAsia="en-GB"/>
        </w:rPr>
        <w:t xml:space="preserve"> close society. </w:t>
      </w:r>
      <w:proofErr w:type="spellStart"/>
      <w:r w:rsidR="00C738E6">
        <w:rPr>
          <w:lang w:val="en-GB" w:eastAsia="en-GB"/>
        </w:rPr>
        <w:t>Kahveci</w:t>
      </w:r>
      <w:proofErr w:type="spellEnd"/>
      <w:r w:rsidR="00C738E6">
        <w:rPr>
          <w:lang w:val="en-GB" w:eastAsia="en-GB"/>
        </w:rPr>
        <w:t xml:space="preserve"> and </w:t>
      </w:r>
      <w:proofErr w:type="spellStart"/>
      <w:r w:rsidR="00C738E6">
        <w:rPr>
          <w:lang w:val="en-GB" w:eastAsia="en-GB"/>
        </w:rPr>
        <w:t>Selc</w:t>
      </w:r>
      <w:r w:rsidRPr="00EF738C">
        <w:rPr>
          <w:lang w:val="en-GB" w:eastAsia="en-GB"/>
        </w:rPr>
        <w:t>uk</w:t>
      </w:r>
      <w:proofErr w:type="spellEnd"/>
      <w:r w:rsidRPr="00EF738C">
        <w:rPr>
          <w:lang w:val="en-GB" w:eastAsia="en-GB"/>
        </w:rPr>
        <w:t xml:space="preserve"> </w:t>
      </w:r>
      <w:r w:rsidR="005A5B5E">
        <w:rPr>
          <w:lang w:val="en-GB" w:eastAsia="en-GB"/>
        </w:rPr>
        <w:t xml:space="preserve">[25] </w:t>
      </w:r>
      <w:r w:rsidRPr="00EF738C">
        <w:rPr>
          <w:lang w:val="en-GB" w:eastAsia="en-GB"/>
        </w:rPr>
        <w:t xml:space="preserve">results of the study show that the PCIT is effective in reducing destructive </w:t>
      </w:r>
      <w:proofErr w:type="spellStart"/>
      <w:r w:rsidRPr="00EF738C">
        <w:rPr>
          <w:lang w:val="en-GB" w:eastAsia="en-GB"/>
        </w:rPr>
        <w:t>behavior</w:t>
      </w:r>
      <w:proofErr w:type="spellEnd"/>
      <w:r w:rsidRPr="00EF738C">
        <w:rPr>
          <w:lang w:val="en-GB" w:eastAsia="en-GB"/>
        </w:rPr>
        <w:t xml:space="preserve"> problems, supporting parental interactions in a positive way, supporting the positive change of the home atmosphere and family wellbeing, and establishing an independent individual by making a healthy separation of the participant from the mother possible.</w:t>
      </w:r>
    </w:p>
    <w:p w14:paraId="04011239" w14:textId="1F1CBD0B" w:rsidR="00EF738C" w:rsidRPr="00EF738C" w:rsidRDefault="00EF738C" w:rsidP="00EF738C">
      <w:pPr>
        <w:ind w:firstLine="720"/>
        <w:jc w:val="both"/>
        <w:rPr>
          <w:lang w:val="en-GB" w:eastAsia="en-GB"/>
        </w:rPr>
      </w:pPr>
      <w:r w:rsidRPr="00EF738C">
        <w:rPr>
          <w:lang w:val="en-GB" w:eastAsia="en-GB"/>
        </w:rPr>
        <w:t>A significant difference was found between the total score averages of the social acceptance scale subscales ', student behaviours' subscale and 'social acceptance scale' according to the income level of students with normal development. Middle-income students have higher social acceptance levels for disable students with special needs than high-income students. In the literature, there are studies showing that students' social acceptance does not differ significant</w:t>
      </w:r>
      <w:r w:rsidR="00DB783D">
        <w:rPr>
          <w:lang w:val="en-GB" w:eastAsia="en-GB"/>
        </w:rPr>
        <w:t>ly according to family income [4</w:t>
      </w:r>
      <w:r w:rsidR="004D58D6">
        <w:rPr>
          <w:lang w:val="en-GB" w:eastAsia="en-GB"/>
        </w:rPr>
        <w:t>, 36</w:t>
      </w:r>
      <w:r w:rsidR="00590B84">
        <w:rPr>
          <w:lang w:val="en-GB" w:eastAsia="en-GB"/>
        </w:rPr>
        <w:t xml:space="preserve">, </w:t>
      </w:r>
      <w:proofErr w:type="gramStart"/>
      <w:r w:rsidR="00590B84">
        <w:rPr>
          <w:lang w:val="en-GB" w:eastAsia="en-GB"/>
        </w:rPr>
        <w:t>42</w:t>
      </w:r>
      <w:proofErr w:type="gramEnd"/>
      <w:r w:rsidR="00DB783D">
        <w:rPr>
          <w:lang w:val="en-GB" w:eastAsia="en-GB"/>
        </w:rPr>
        <w:t>]</w:t>
      </w:r>
      <w:r w:rsidRPr="00EF738C">
        <w:rPr>
          <w:lang w:val="en-GB" w:eastAsia="en-GB"/>
        </w:rPr>
        <w:t xml:space="preserve">, studies differ from the present study findings. </w:t>
      </w:r>
      <w:proofErr w:type="spellStart"/>
      <w:r w:rsidRPr="00EF738C">
        <w:rPr>
          <w:lang w:val="en-GB" w:eastAsia="en-GB"/>
        </w:rPr>
        <w:t>Boutot</w:t>
      </w:r>
      <w:proofErr w:type="spellEnd"/>
      <w:r w:rsidRPr="00EF738C">
        <w:rPr>
          <w:lang w:val="en-GB" w:eastAsia="en-GB"/>
        </w:rPr>
        <w:t xml:space="preserve"> </w:t>
      </w:r>
      <w:r w:rsidR="00932230">
        <w:rPr>
          <w:lang w:val="en-GB" w:eastAsia="en-GB"/>
        </w:rPr>
        <w:t xml:space="preserve">[43] </w:t>
      </w:r>
      <w:r w:rsidRPr="00EF738C">
        <w:rPr>
          <w:lang w:val="en-GB" w:eastAsia="en-GB"/>
        </w:rPr>
        <w:t>social acceptance; It is defined as individuals who are not affected by disability having positive attitudes towards individuals affected by disability and seeing them as others.</w:t>
      </w:r>
    </w:p>
    <w:p w14:paraId="3824B84C" w14:textId="77777777" w:rsidR="00EF738C" w:rsidRPr="00EF738C" w:rsidRDefault="00EF738C" w:rsidP="00EF738C">
      <w:pPr>
        <w:ind w:firstLine="720"/>
        <w:jc w:val="both"/>
        <w:rPr>
          <w:lang w:val="en-GB" w:eastAsia="en-GB"/>
        </w:rPr>
      </w:pPr>
      <w:r w:rsidRPr="00EF738C">
        <w:rPr>
          <w:lang w:val="en-GB" w:eastAsia="en-GB"/>
        </w:rPr>
        <w:t xml:space="preserve">In general, when the results of the study are evaluated, female students with normal development have higher level of positive peer attitudes as disable students than male students. Considering the findings of this research, it is important that the psychological counsellors working in the school guidance services to organize psycho-education programs or informative seminars and conferences for increasing the positive attitudes of male students towards disable students. In terms of the number of siblings’ variable, students with three or more siblings have a higher level of positive social acceptance than students with one sibling. Considering that the result of this research increases social skills, it is important in terms of emphasizing the importance of the trainings to be made to develop social skills for other siblings in the family. </w:t>
      </w:r>
    </w:p>
    <w:p w14:paraId="73BF2029" w14:textId="77777777" w:rsidR="00EF738C" w:rsidRPr="00EF738C" w:rsidRDefault="00EF738C" w:rsidP="00EF738C">
      <w:pPr>
        <w:ind w:firstLine="720"/>
        <w:jc w:val="both"/>
        <w:rPr>
          <w:lang w:val="en-GB" w:eastAsia="en-GB"/>
        </w:rPr>
      </w:pPr>
      <w:r w:rsidRPr="00EF738C">
        <w:rPr>
          <w:lang w:val="en-GB" w:eastAsia="en-GB"/>
        </w:rPr>
        <w:t>This research has some limitations. In this study, social acceptance levels of only middle school 6</w:t>
      </w:r>
      <w:r w:rsidRPr="00EF738C">
        <w:rPr>
          <w:vertAlign w:val="superscript"/>
          <w:lang w:val="en-GB" w:eastAsia="en-GB"/>
        </w:rPr>
        <w:t>th</w:t>
      </w:r>
      <w:r w:rsidRPr="00EF738C">
        <w:rPr>
          <w:lang w:val="en-GB" w:eastAsia="en-GB"/>
        </w:rPr>
        <w:t xml:space="preserve"> and 7</w:t>
      </w:r>
      <w:r w:rsidRPr="00EF738C">
        <w:rPr>
          <w:vertAlign w:val="superscript"/>
          <w:lang w:val="en-GB" w:eastAsia="en-GB"/>
        </w:rPr>
        <w:t>th</w:t>
      </w:r>
      <w:r w:rsidRPr="00EF738C">
        <w:rPr>
          <w:lang w:val="en-GB" w:eastAsia="en-GB"/>
        </w:rPr>
        <w:t xml:space="preserve"> grade students towards disable students were investigated. The limitation of this study in terms of </w:t>
      </w:r>
      <w:r w:rsidRPr="00EF738C">
        <w:rPr>
          <w:lang w:val="en-GB" w:eastAsia="en-GB"/>
        </w:rPr>
        <w:lastRenderedPageBreak/>
        <w:t xml:space="preserve">methods is that it is a descriptive study and is insufficient to explain causal relationships. Another limitation of this study that was implemented in three secondary schools in only one city </w:t>
      </w:r>
      <w:proofErr w:type="spellStart"/>
      <w:r w:rsidRPr="00EF738C">
        <w:rPr>
          <w:lang w:val="en-GB" w:eastAsia="en-GB"/>
        </w:rPr>
        <w:t>center</w:t>
      </w:r>
      <w:proofErr w:type="spellEnd"/>
      <w:r w:rsidRPr="00EF738C">
        <w:rPr>
          <w:lang w:val="en-GB" w:eastAsia="en-GB"/>
        </w:rPr>
        <w:t xml:space="preserve"> and it did not consider the socio-economic levels of the participants. In future studies, it may be more appropriate to conduct quantitative and qualitative studies with larger and heterogeneous working groups. These are serious restriction and limitations of the study. However, researches on this subject are more recent and appear to be limited. It is thought that the results of this study will contribute significantly to the development of positive social acceptance and positive attitudes towards individuals with special needs. In new studies to be carried out about this subject could be suggested to work with students from different education levels, with different variables, and students from different age groups. It is thought that students with normal development will contribute to new studies that will investigate the positive social acceptance levels of disable students and will guide similar studies.</w:t>
      </w:r>
    </w:p>
    <w:p w14:paraId="66D25994" w14:textId="77777777" w:rsidR="00EF738C" w:rsidRPr="003D5B84" w:rsidRDefault="00EF738C" w:rsidP="00904D6D">
      <w:pPr>
        <w:ind w:firstLine="720"/>
        <w:jc w:val="both"/>
        <w:rPr>
          <w:lang w:val="id-ID"/>
        </w:rPr>
      </w:pPr>
    </w:p>
    <w:p w14:paraId="59A074E4" w14:textId="77777777" w:rsidR="0088233C" w:rsidRDefault="0088233C" w:rsidP="00904D6D">
      <w:pPr>
        <w:rPr>
          <w:b/>
          <w:bCs/>
        </w:rPr>
      </w:pPr>
    </w:p>
    <w:p w14:paraId="7BB13015" w14:textId="2C762270" w:rsidR="00EE7C89" w:rsidRPr="00EE7C89" w:rsidRDefault="00F33C08" w:rsidP="00904D6D">
      <w:pPr>
        <w:rPr>
          <w:rStyle w:val="apple-style-span"/>
          <w:b/>
          <w:color w:val="000000"/>
          <w:lang w:val="pt-BR"/>
        </w:rPr>
      </w:pPr>
      <w:r w:rsidRPr="00EE7C89">
        <w:rPr>
          <w:rStyle w:val="apple-style-span"/>
          <w:b/>
          <w:color w:val="000000"/>
          <w:lang w:val="pt-BR"/>
        </w:rPr>
        <w:t>ACKNOWLEDGEMENTS</w:t>
      </w:r>
      <w:r>
        <w:rPr>
          <w:rStyle w:val="apple-style-span"/>
          <w:b/>
          <w:color w:val="000000"/>
          <w:lang w:val="pt-BR"/>
        </w:rPr>
        <w:t xml:space="preserve"> </w:t>
      </w:r>
    </w:p>
    <w:p w14:paraId="08D44A89" w14:textId="533C1A8C" w:rsidR="001D5842" w:rsidRPr="001D5842" w:rsidRDefault="001D5842" w:rsidP="001D5842">
      <w:pPr>
        <w:ind w:firstLine="709"/>
        <w:jc w:val="both"/>
        <w:rPr>
          <w:rFonts w:eastAsia="Calibri"/>
          <w:lang w:val="tr-TR"/>
        </w:rPr>
      </w:pPr>
      <w:r w:rsidRPr="001D5842">
        <w:rPr>
          <w:rFonts w:eastAsia="Calibri"/>
          <w:lang w:val="tr-TR"/>
        </w:rPr>
        <w:t>This article is based on a master's thesis conducted under the direction of the second author by the first author in the area of Guidance and Psychological Counselling at the European University of Lefke Institute of Graduate Studies and Research.</w:t>
      </w:r>
    </w:p>
    <w:p w14:paraId="12C3AD64" w14:textId="45B14E03" w:rsidR="00EE7C89" w:rsidRDefault="00EE7C89" w:rsidP="00904D6D">
      <w:pPr>
        <w:rPr>
          <w:b/>
          <w:bCs/>
        </w:rPr>
      </w:pPr>
    </w:p>
    <w:p w14:paraId="77DF82E2" w14:textId="77777777" w:rsidR="00EA127F" w:rsidRPr="00EE7C89" w:rsidRDefault="00EA127F" w:rsidP="00904D6D">
      <w:pPr>
        <w:rPr>
          <w:b/>
          <w:bCs/>
        </w:rPr>
      </w:pPr>
    </w:p>
    <w:p w14:paraId="54AD02B9" w14:textId="7FE2EBE3" w:rsidR="00C35B8F" w:rsidRPr="003D5B84" w:rsidRDefault="00F33C08" w:rsidP="00C35B8F">
      <w:pPr>
        <w:rPr>
          <w:color w:val="000000"/>
          <w:lang w:val="pt-BR"/>
        </w:rPr>
      </w:pPr>
      <w:r w:rsidRPr="003D5B84">
        <w:rPr>
          <w:rStyle w:val="apple-style-span"/>
          <w:b/>
          <w:color w:val="000000"/>
          <w:lang w:val="pt-BR"/>
        </w:rPr>
        <w:t>REFERENCES</w:t>
      </w:r>
      <w:r>
        <w:rPr>
          <w:rStyle w:val="apple-style-span"/>
          <w:b/>
          <w:color w:val="000000"/>
          <w:lang w:val="pt-BR"/>
        </w:rPr>
        <w:t xml:space="preserve"> </w:t>
      </w:r>
    </w:p>
    <w:p w14:paraId="76BDC01B" w14:textId="77777777" w:rsidR="0052307E" w:rsidRPr="0052307E" w:rsidRDefault="0052307E" w:rsidP="0052307E">
      <w:pPr>
        <w:numPr>
          <w:ilvl w:val="0"/>
          <w:numId w:val="17"/>
        </w:numPr>
        <w:ind w:left="426" w:hanging="426"/>
        <w:contextualSpacing/>
        <w:jc w:val="both"/>
        <w:rPr>
          <w:color w:val="000000"/>
          <w:sz w:val="18"/>
          <w:szCs w:val="18"/>
          <w:lang w:val="en-GB" w:eastAsia="en-GB"/>
        </w:rPr>
      </w:pPr>
      <w:r w:rsidRPr="0052307E">
        <w:rPr>
          <w:color w:val="000000"/>
          <w:sz w:val="18"/>
          <w:szCs w:val="18"/>
          <w:lang w:val="en-GB" w:eastAsia="en-GB"/>
        </w:rPr>
        <w:t xml:space="preserve">A. </w:t>
      </w:r>
      <w:proofErr w:type="spellStart"/>
      <w:r w:rsidRPr="0052307E">
        <w:rPr>
          <w:color w:val="000000"/>
          <w:sz w:val="18"/>
          <w:szCs w:val="18"/>
          <w:lang w:val="en-GB" w:eastAsia="en-GB"/>
        </w:rPr>
        <w:t>Sığırtmaç</w:t>
      </w:r>
      <w:proofErr w:type="spellEnd"/>
      <w:r w:rsidRPr="0052307E">
        <w:rPr>
          <w:color w:val="000000"/>
          <w:sz w:val="18"/>
          <w:szCs w:val="18"/>
          <w:lang w:val="en-GB" w:eastAsia="en-GB"/>
        </w:rPr>
        <w:t xml:space="preserve"> and E. </w:t>
      </w:r>
      <w:proofErr w:type="spellStart"/>
      <w:r w:rsidRPr="0052307E">
        <w:rPr>
          <w:color w:val="000000"/>
          <w:sz w:val="18"/>
          <w:szCs w:val="18"/>
          <w:lang w:val="en-GB" w:eastAsia="en-GB"/>
        </w:rPr>
        <w:t>Gül</w:t>
      </w:r>
      <w:proofErr w:type="spellEnd"/>
      <w:r w:rsidRPr="0052307E">
        <w:rPr>
          <w:color w:val="000000"/>
          <w:sz w:val="18"/>
          <w:szCs w:val="18"/>
          <w:lang w:val="en-GB" w:eastAsia="en-GB"/>
        </w:rPr>
        <w:t>, “</w:t>
      </w:r>
      <w:proofErr w:type="spellStart"/>
      <w:r w:rsidRPr="0052307E">
        <w:rPr>
          <w:i/>
          <w:color w:val="000000"/>
          <w:sz w:val="18"/>
          <w:szCs w:val="18"/>
          <w:lang w:val="en-GB" w:eastAsia="en-GB"/>
        </w:rPr>
        <w:t>Okul</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öncesinde</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özel</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eğitim</w:t>
      </w:r>
      <w:proofErr w:type="spellEnd"/>
      <w:r w:rsidRPr="0052307E">
        <w:rPr>
          <w:color w:val="000000"/>
          <w:sz w:val="18"/>
          <w:szCs w:val="18"/>
          <w:lang w:val="en-GB" w:eastAsia="en-GB"/>
        </w:rPr>
        <w:t xml:space="preserve">,” Ankara: </w:t>
      </w:r>
      <w:proofErr w:type="spellStart"/>
      <w:r w:rsidRPr="0052307E">
        <w:rPr>
          <w:color w:val="000000"/>
          <w:sz w:val="18"/>
          <w:szCs w:val="18"/>
          <w:lang w:val="en-GB" w:eastAsia="en-GB"/>
        </w:rPr>
        <w:t>Kök</w:t>
      </w:r>
      <w:proofErr w:type="spellEnd"/>
      <w:r w:rsidRPr="0052307E">
        <w:rPr>
          <w:color w:val="000000"/>
          <w:sz w:val="18"/>
          <w:szCs w:val="18"/>
          <w:lang w:val="en-GB" w:eastAsia="en-GB"/>
        </w:rPr>
        <w:t xml:space="preserve"> Publishing, 2008.</w:t>
      </w:r>
    </w:p>
    <w:p w14:paraId="687FCEB5" w14:textId="77777777" w:rsidR="0052307E" w:rsidRPr="0052307E" w:rsidRDefault="0052307E" w:rsidP="0052307E">
      <w:pPr>
        <w:numPr>
          <w:ilvl w:val="0"/>
          <w:numId w:val="17"/>
        </w:numPr>
        <w:ind w:left="426" w:hanging="426"/>
        <w:contextualSpacing/>
        <w:jc w:val="both"/>
        <w:rPr>
          <w:color w:val="000000"/>
          <w:sz w:val="18"/>
          <w:szCs w:val="18"/>
          <w:lang w:val="en-GB" w:eastAsia="en-GB"/>
        </w:rPr>
      </w:pPr>
      <w:r w:rsidRPr="0052307E">
        <w:rPr>
          <w:color w:val="000000"/>
          <w:sz w:val="18"/>
          <w:szCs w:val="18"/>
          <w:lang w:val="en-GB" w:eastAsia="en-GB"/>
        </w:rPr>
        <w:t xml:space="preserve">M. </w:t>
      </w:r>
      <w:proofErr w:type="spellStart"/>
      <w:r w:rsidRPr="0052307E">
        <w:rPr>
          <w:color w:val="000000"/>
          <w:sz w:val="18"/>
          <w:szCs w:val="18"/>
          <w:lang w:val="en-GB" w:eastAsia="en-GB"/>
        </w:rPr>
        <w:t>Özyürek</w:t>
      </w:r>
      <w:proofErr w:type="spellEnd"/>
      <w:r w:rsidRPr="0052307E">
        <w:rPr>
          <w:color w:val="000000"/>
          <w:sz w:val="18"/>
          <w:szCs w:val="18"/>
          <w:lang w:val="en-GB" w:eastAsia="en-GB"/>
        </w:rPr>
        <w:t>, “</w:t>
      </w:r>
      <w:proofErr w:type="spellStart"/>
      <w:r w:rsidRPr="0052307E">
        <w:rPr>
          <w:i/>
          <w:color w:val="000000"/>
          <w:sz w:val="18"/>
          <w:szCs w:val="18"/>
          <w:lang w:val="en-GB" w:eastAsia="en-GB"/>
        </w:rPr>
        <w:t>Tutumlar</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ve</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engellilere</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yönelik</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tutumların</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değiştirilmesi</w:t>
      </w:r>
      <w:proofErr w:type="spellEnd"/>
      <w:r w:rsidRPr="0052307E">
        <w:rPr>
          <w:i/>
          <w:color w:val="000000"/>
          <w:sz w:val="18"/>
          <w:szCs w:val="18"/>
          <w:lang w:val="en-GB" w:eastAsia="en-GB"/>
        </w:rPr>
        <w:t xml:space="preserve">,” </w:t>
      </w:r>
      <w:r w:rsidRPr="0052307E">
        <w:rPr>
          <w:color w:val="000000"/>
          <w:sz w:val="18"/>
          <w:szCs w:val="18"/>
          <w:lang w:val="en-GB" w:eastAsia="en-GB"/>
        </w:rPr>
        <w:t xml:space="preserve">Ankara: </w:t>
      </w:r>
      <w:proofErr w:type="spellStart"/>
      <w:r w:rsidRPr="0052307E">
        <w:rPr>
          <w:color w:val="000000"/>
          <w:sz w:val="18"/>
          <w:szCs w:val="18"/>
          <w:lang w:val="en-GB" w:eastAsia="en-GB"/>
        </w:rPr>
        <w:t>Kök</w:t>
      </w:r>
      <w:proofErr w:type="spellEnd"/>
      <w:r w:rsidRPr="0052307E">
        <w:rPr>
          <w:color w:val="000000"/>
          <w:sz w:val="18"/>
          <w:szCs w:val="18"/>
          <w:lang w:val="en-GB" w:eastAsia="en-GB"/>
        </w:rPr>
        <w:t xml:space="preserve"> Publishing, 2006.</w:t>
      </w:r>
    </w:p>
    <w:p w14:paraId="0A29DC2F" w14:textId="77777777" w:rsidR="0052307E" w:rsidRPr="0052307E" w:rsidRDefault="0052307E" w:rsidP="0052307E">
      <w:pPr>
        <w:numPr>
          <w:ilvl w:val="0"/>
          <w:numId w:val="17"/>
        </w:numPr>
        <w:ind w:left="426" w:hanging="426"/>
        <w:contextualSpacing/>
        <w:jc w:val="both"/>
        <w:rPr>
          <w:sz w:val="18"/>
          <w:szCs w:val="18"/>
          <w:shd w:val="clear" w:color="auto" w:fill="FFFFFF"/>
          <w:lang w:val="en-GB" w:eastAsia="en-GB"/>
        </w:rPr>
      </w:pPr>
      <w:r w:rsidRPr="0052307E">
        <w:rPr>
          <w:sz w:val="18"/>
          <w:szCs w:val="18"/>
          <w:shd w:val="clear" w:color="auto" w:fill="FFFFFF"/>
          <w:lang w:val="en-GB" w:eastAsia="en-GB"/>
        </w:rPr>
        <w:t xml:space="preserve">C. </w:t>
      </w:r>
      <w:proofErr w:type="spellStart"/>
      <w:r w:rsidRPr="0052307E">
        <w:rPr>
          <w:sz w:val="18"/>
          <w:szCs w:val="18"/>
          <w:shd w:val="clear" w:color="auto" w:fill="FFFFFF"/>
          <w:lang w:val="en-GB" w:eastAsia="en-GB"/>
        </w:rPr>
        <w:t>Aktaş</w:t>
      </w:r>
      <w:proofErr w:type="spellEnd"/>
      <w:r w:rsidRPr="0052307E">
        <w:rPr>
          <w:sz w:val="18"/>
          <w:szCs w:val="18"/>
          <w:shd w:val="clear" w:color="auto" w:fill="FFFFFF"/>
          <w:lang w:val="en-GB" w:eastAsia="en-GB"/>
        </w:rPr>
        <w:t xml:space="preserve">, and S. </w:t>
      </w:r>
      <w:proofErr w:type="spellStart"/>
      <w:r w:rsidRPr="0052307E">
        <w:rPr>
          <w:sz w:val="18"/>
          <w:szCs w:val="18"/>
          <w:shd w:val="clear" w:color="auto" w:fill="FFFFFF"/>
          <w:lang w:val="en-GB" w:eastAsia="en-GB"/>
        </w:rPr>
        <w:t>Küçüker</w:t>
      </w:r>
      <w:proofErr w:type="spellEnd"/>
      <w:r w:rsidRPr="0052307E">
        <w:rPr>
          <w:sz w:val="18"/>
          <w:szCs w:val="18"/>
          <w:shd w:val="clear" w:color="auto" w:fill="FFFFFF"/>
          <w:lang w:val="en-GB" w:eastAsia="en-GB"/>
        </w:rPr>
        <w:t>, “</w:t>
      </w:r>
      <w:proofErr w:type="spellStart"/>
      <w:r w:rsidRPr="0052307E">
        <w:rPr>
          <w:sz w:val="18"/>
          <w:szCs w:val="18"/>
          <w:shd w:val="clear" w:color="auto" w:fill="FFFFFF"/>
          <w:lang w:val="en-GB" w:eastAsia="en-GB"/>
        </w:rPr>
        <w:t>Bilişsel-duyuşsal</w:t>
      </w:r>
      <w:proofErr w:type="spellEnd"/>
      <w:r w:rsidRPr="0052307E">
        <w:rPr>
          <w:sz w:val="18"/>
          <w:szCs w:val="18"/>
          <w:shd w:val="clear" w:color="auto" w:fill="FFFFFF"/>
          <w:lang w:val="en-GB" w:eastAsia="en-GB"/>
        </w:rPr>
        <w:t xml:space="preserve"> </w:t>
      </w:r>
      <w:proofErr w:type="spellStart"/>
      <w:r w:rsidRPr="0052307E">
        <w:rPr>
          <w:sz w:val="18"/>
          <w:szCs w:val="18"/>
          <w:shd w:val="clear" w:color="auto" w:fill="FFFFFF"/>
          <w:lang w:val="en-GB" w:eastAsia="en-GB"/>
        </w:rPr>
        <w:t>odaklı</w:t>
      </w:r>
      <w:proofErr w:type="spellEnd"/>
      <w:r w:rsidRPr="0052307E">
        <w:rPr>
          <w:sz w:val="18"/>
          <w:szCs w:val="18"/>
          <w:shd w:val="clear" w:color="auto" w:fill="FFFFFF"/>
          <w:lang w:val="en-GB" w:eastAsia="en-GB"/>
        </w:rPr>
        <w:t xml:space="preserve"> </w:t>
      </w:r>
      <w:proofErr w:type="spellStart"/>
      <w:r w:rsidRPr="0052307E">
        <w:rPr>
          <w:sz w:val="18"/>
          <w:szCs w:val="18"/>
          <w:shd w:val="clear" w:color="auto" w:fill="FFFFFF"/>
          <w:lang w:val="en-GB" w:eastAsia="en-GB"/>
        </w:rPr>
        <w:t>bir</w:t>
      </w:r>
      <w:proofErr w:type="spellEnd"/>
      <w:r w:rsidRPr="0052307E">
        <w:rPr>
          <w:sz w:val="18"/>
          <w:szCs w:val="18"/>
          <w:shd w:val="clear" w:color="auto" w:fill="FFFFFF"/>
          <w:lang w:val="en-GB" w:eastAsia="en-GB"/>
        </w:rPr>
        <w:t xml:space="preserve"> </w:t>
      </w:r>
      <w:proofErr w:type="spellStart"/>
      <w:r w:rsidRPr="0052307E">
        <w:rPr>
          <w:sz w:val="18"/>
          <w:szCs w:val="18"/>
          <w:shd w:val="clear" w:color="auto" w:fill="FFFFFF"/>
          <w:lang w:val="en-GB" w:eastAsia="en-GB"/>
        </w:rPr>
        <w:t>programın</w:t>
      </w:r>
      <w:proofErr w:type="spellEnd"/>
      <w:r w:rsidRPr="0052307E">
        <w:rPr>
          <w:sz w:val="18"/>
          <w:szCs w:val="18"/>
          <w:shd w:val="clear" w:color="auto" w:fill="FFFFFF"/>
          <w:lang w:val="en-GB" w:eastAsia="en-GB"/>
        </w:rPr>
        <w:t xml:space="preserve"> </w:t>
      </w:r>
      <w:proofErr w:type="spellStart"/>
      <w:r w:rsidRPr="0052307E">
        <w:rPr>
          <w:sz w:val="18"/>
          <w:szCs w:val="18"/>
          <w:shd w:val="clear" w:color="auto" w:fill="FFFFFF"/>
          <w:lang w:val="en-GB" w:eastAsia="en-GB"/>
        </w:rPr>
        <w:t>ilköğretim</w:t>
      </w:r>
      <w:proofErr w:type="spellEnd"/>
      <w:r w:rsidRPr="0052307E">
        <w:rPr>
          <w:sz w:val="18"/>
          <w:szCs w:val="18"/>
          <w:shd w:val="clear" w:color="auto" w:fill="FFFFFF"/>
          <w:lang w:val="en-GB" w:eastAsia="en-GB"/>
        </w:rPr>
        <w:t xml:space="preserve"> </w:t>
      </w:r>
      <w:proofErr w:type="spellStart"/>
      <w:r w:rsidRPr="0052307E">
        <w:rPr>
          <w:sz w:val="18"/>
          <w:szCs w:val="18"/>
          <w:shd w:val="clear" w:color="auto" w:fill="FFFFFF"/>
          <w:lang w:val="en-GB" w:eastAsia="en-GB"/>
        </w:rPr>
        <w:t>öğrencilerinin</w:t>
      </w:r>
      <w:proofErr w:type="spellEnd"/>
      <w:r w:rsidRPr="0052307E">
        <w:rPr>
          <w:sz w:val="18"/>
          <w:szCs w:val="18"/>
          <w:shd w:val="clear" w:color="auto" w:fill="FFFFFF"/>
          <w:lang w:val="en-GB" w:eastAsia="en-GB"/>
        </w:rPr>
        <w:t xml:space="preserve"> </w:t>
      </w:r>
      <w:proofErr w:type="spellStart"/>
      <w:r w:rsidRPr="0052307E">
        <w:rPr>
          <w:sz w:val="18"/>
          <w:szCs w:val="18"/>
          <w:shd w:val="clear" w:color="auto" w:fill="FFFFFF"/>
          <w:lang w:val="en-GB" w:eastAsia="en-GB"/>
        </w:rPr>
        <w:t>fiziksel</w:t>
      </w:r>
      <w:proofErr w:type="spellEnd"/>
      <w:r w:rsidRPr="0052307E">
        <w:rPr>
          <w:sz w:val="18"/>
          <w:szCs w:val="18"/>
          <w:shd w:val="clear" w:color="auto" w:fill="FFFFFF"/>
          <w:lang w:val="en-GB" w:eastAsia="en-GB"/>
        </w:rPr>
        <w:t xml:space="preserve"> </w:t>
      </w:r>
      <w:proofErr w:type="spellStart"/>
      <w:r w:rsidRPr="0052307E">
        <w:rPr>
          <w:sz w:val="18"/>
          <w:szCs w:val="18"/>
          <w:shd w:val="clear" w:color="auto" w:fill="FFFFFF"/>
          <w:lang w:val="en-GB" w:eastAsia="en-GB"/>
        </w:rPr>
        <w:t>engelli</w:t>
      </w:r>
      <w:proofErr w:type="spellEnd"/>
      <w:r w:rsidRPr="0052307E">
        <w:rPr>
          <w:sz w:val="18"/>
          <w:szCs w:val="18"/>
          <w:shd w:val="clear" w:color="auto" w:fill="FFFFFF"/>
          <w:lang w:val="en-GB" w:eastAsia="en-GB"/>
        </w:rPr>
        <w:t xml:space="preserve"> </w:t>
      </w:r>
      <w:proofErr w:type="spellStart"/>
      <w:r w:rsidRPr="0052307E">
        <w:rPr>
          <w:sz w:val="18"/>
          <w:szCs w:val="18"/>
          <w:shd w:val="clear" w:color="auto" w:fill="FFFFFF"/>
          <w:lang w:val="en-GB" w:eastAsia="en-GB"/>
        </w:rPr>
        <w:t>yaşıtlarına</w:t>
      </w:r>
      <w:proofErr w:type="spellEnd"/>
      <w:r w:rsidRPr="0052307E">
        <w:rPr>
          <w:sz w:val="18"/>
          <w:szCs w:val="18"/>
          <w:shd w:val="clear" w:color="auto" w:fill="FFFFFF"/>
          <w:lang w:val="en-GB" w:eastAsia="en-GB"/>
        </w:rPr>
        <w:t xml:space="preserve"> </w:t>
      </w:r>
      <w:proofErr w:type="spellStart"/>
      <w:r w:rsidRPr="0052307E">
        <w:rPr>
          <w:sz w:val="18"/>
          <w:szCs w:val="18"/>
          <w:shd w:val="clear" w:color="auto" w:fill="FFFFFF"/>
          <w:lang w:val="en-GB" w:eastAsia="en-GB"/>
        </w:rPr>
        <w:t>yönelik</w:t>
      </w:r>
      <w:proofErr w:type="spellEnd"/>
      <w:r w:rsidRPr="0052307E">
        <w:rPr>
          <w:sz w:val="18"/>
          <w:szCs w:val="18"/>
          <w:shd w:val="clear" w:color="auto" w:fill="FFFFFF"/>
          <w:lang w:val="en-GB" w:eastAsia="en-GB"/>
        </w:rPr>
        <w:t xml:space="preserve"> </w:t>
      </w:r>
      <w:proofErr w:type="spellStart"/>
      <w:r w:rsidRPr="0052307E">
        <w:rPr>
          <w:sz w:val="18"/>
          <w:szCs w:val="18"/>
          <w:shd w:val="clear" w:color="auto" w:fill="FFFFFF"/>
          <w:lang w:val="en-GB" w:eastAsia="en-GB"/>
        </w:rPr>
        <w:t>sosyal</w:t>
      </w:r>
      <w:proofErr w:type="spellEnd"/>
      <w:r w:rsidRPr="0052307E">
        <w:rPr>
          <w:sz w:val="18"/>
          <w:szCs w:val="18"/>
          <w:shd w:val="clear" w:color="auto" w:fill="FFFFFF"/>
          <w:lang w:val="en-GB" w:eastAsia="en-GB"/>
        </w:rPr>
        <w:t xml:space="preserve"> </w:t>
      </w:r>
      <w:proofErr w:type="spellStart"/>
      <w:r w:rsidRPr="0052307E">
        <w:rPr>
          <w:sz w:val="18"/>
          <w:szCs w:val="18"/>
          <w:shd w:val="clear" w:color="auto" w:fill="FFFFFF"/>
          <w:lang w:val="en-GB" w:eastAsia="en-GB"/>
        </w:rPr>
        <w:t>kabul</w:t>
      </w:r>
      <w:proofErr w:type="spellEnd"/>
      <w:r w:rsidRPr="0052307E">
        <w:rPr>
          <w:sz w:val="18"/>
          <w:szCs w:val="18"/>
          <w:shd w:val="clear" w:color="auto" w:fill="FFFFFF"/>
          <w:lang w:val="en-GB" w:eastAsia="en-GB"/>
        </w:rPr>
        <w:t xml:space="preserve"> </w:t>
      </w:r>
      <w:proofErr w:type="spellStart"/>
      <w:r w:rsidRPr="0052307E">
        <w:rPr>
          <w:sz w:val="18"/>
          <w:szCs w:val="18"/>
          <w:shd w:val="clear" w:color="auto" w:fill="FFFFFF"/>
          <w:lang w:val="en-GB" w:eastAsia="en-GB"/>
        </w:rPr>
        <w:t>düzeylerine</w:t>
      </w:r>
      <w:proofErr w:type="spellEnd"/>
      <w:r w:rsidRPr="0052307E">
        <w:rPr>
          <w:sz w:val="18"/>
          <w:szCs w:val="18"/>
          <w:shd w:val="clear" w:color="auto" w:fill="FFFFFF"/>
          <w:lang w:val="en-GB" w:eastAsia="en-GB"/>
        </w:rPr>
        <w:t xml:space="preserve"> </w:t>
      </w:r>
      <w:proofErr w:type="spellStart"/>
      <w:r w:rsidRPr="0052307E">
        <w:rPr>
          <w:sz w:val="18"/>
          <w:szCs w:val="18"/>
          <w:shd w:val="clear" w:color="auto" w:fill="FFFFFF"/>
          <w:lang w:val="en-GB" w:eastAsia="en-GB"/>
        </w:rPr>
        <w:t>etkisinin</w:t>
      </w:r>
      <w:proofErr w:type="spellEnd"/>
      <w:r w:rsidRPr="0052307E">
        <w:rPr>
          <w:sz w:val="18"/>
          <w:szCs w:val="18"/>
          <w:shd w:val="clear" w:color="auto" w:fill="FFFFFF"/>
          <w:lang w:val="en-GB" w:eastAsia="en-GB"/>
        </w:rPr>
        <w:t xml:space="preserve"> </w:t>
      </w:r>
      <w:proofErr w:type="spellStart"/>
      <w:r w:rsidRPr="0052307E">
        <w:rPr>
          <w:sz w:val="18"/>
          <w:szCs w:val="18"/>
          <w:shd w:val="clear" w:color="auto" w:fill="FFFFFF"/>
          <w:lang w:val="en-GB" w:eastAsia="en-GB"/>
        </w:rPr>
        <w:t>incelenmesi</w:t>
      </w:r>
      <w:proofErr w:type="spellEnd"/>
      <w:r w:rsidRPr="0052307E">
        <w:rPr>
          <w:sz w:val="18"/>
          <w:szCs w:val="18"/>
          <w:shd w:val="clear" w:color="auto" w:fill="FFFFFF"/>
          <w:lang w:val="en-GB" w:eastAsia="en-GB"/>
        </w:rPr>
        <w:t xml:space="preserve">,” </w:t>
      </w:r>
      <w:r w:rsidRPr="0052307E">
        <w:rPr>
          <w:i/>
          <w:sz w:val="18"/>
          <w:szCs w:val="18"/>
          <w:lang w:val="en-GB" w:eastAsia="en-GB"/>
        </w:rPr>
        <w:t>Ankara University Faculty of Educational Sciences Journal of Special Education</w:t>
      </w:r>
      <w:r w:rsidRPr="0052307E">
        <w:rPr>
          <w:sz w:val="18"/>
          <w:szCs w:val="18"/>
          <w:lang w:val="en-GB" w:eastAsia="en-GB"/>
        </w:rPr>
        <w:t xml:space="preserve">, vol. </w:t>
      </w:r>
      <w:r w:rsidRPr="0052307E">
        <w:rPr>
          <w:sz w:val="18"/>
          <w:szCs w:val="18"/>
          <w:shd w:val="clear" w:color="auto" w:fill="FFFFFF"/>
          <w:lang w:val="en-GB" w:eastAsia="en-GB"/>
        </w:rPr>
        <w:t>3, no. 2, 15-25. 2002.</w:t>
      </w:r>
    </w:p>
    <w:p w14:paraId="02F0B62B" w14:textId="77777777" w:rsidR="0052307E" w:rsidRPr="0052307E" w:rsidRDefault="0052307E" w:rsidP="0052307E">
      <w:pPr>
        <w:numPr>
          <w:ilvl w:val="0"/>
          <w:numId w:val="17"/>
        </w:numPr>
        <w:ind w:left="426" w:hanging="426"/>
        <w:contextualSpacing/>
        <w:jc w:val="both"/>
        <w:rPr>
          <w:sz w:val="18"/>
          <w:szCs w:val="18"/>
          <w:shd w:val="clear" w:color="auto" w:fill="FFFFFF"/>
          <w:lang w:val="en-GB" w:eastAsia="en-GB"/>
        </w:rPr>
      </w:pPr>
      <w:r w:rsidRPr="0052307E">
        <w:rPr>
          <w:sz w:val="18"/>
          <w:szCs w:val="18"/>
          <w:shd w:val="clear" w:color="auto" w:fill="FFFFFF"/>
          <w:lang w:val="en-GB" w:eastAsia="en-GB"/>
        </w:rPr>
        <w:t xml:space="preserve">O. </w:t>
      </w:r>
      <w:proofErr w:type="spellStart"/>
      <w:r w:rsidRPr="0052307E">
        <w:rPr>
          <w:sz w:val="18"/>
          <w:szCs w:val="18"/>
          <w:shd w:val="clear" w:color="auto" w:fill="FFFFFF"/>
          <w:lang w:val="en-GB" w:eastAsia="en-GB"/>
        </w:rPr>
        <w:t>Aktan</w:t>
      </w:r>
      <w:proofErr w:type="spellEnd"/>
      <w:r w:rsidRPr="0052307E">
        <w:rPr>
          <w:sz w:val="18"/>
          <w:szCs w:val="18"/>
          <w:shd w:val="clear" w:color="auto" w:fill="FFFFFF"/>
          <w:lang w:val="en-GB" w:eastAsia="en-GB"/>
        </w:rPr>
        <w:t xml:space="preserve">, Y. </w:t>
      </w:r>
      <w:proofErr w:type="spellStart"/>
      <w:r w:rsidRPr="0052307E">
        <w:rPr>
          <w:sz w:val="18"/>
          <w:szCs w:val="18"/>
          <w:shd w:val="clear" w:color="auto" w:fill="FFFFFF"/>
          <w:lang w:val="en-GB" w:eastAsia="en-GB"/>
        </w:rPr>
        <w:t>Budak</w:t>
      </w:r>
      <w:proofErr w:type="spellEnd"/>
      <w:r w:rsidRPr="0052307E">
        <w:rPr>
          <w:sz w:val="18"/>
          <w:szCs w:val="18"/>
          <w:shd w:val="clear" w:color="auto" w:fill="FFFFFF"/>
          <w:lang w:val="en-GB" w:eastAsia="en-GB"/>
        </w:rPr>
        <w:t xml:space="preserve"> and A. B. </w:t>
      </w:r>
      <w:proofErr w:type="spellStart"/>
      <w:r w:rsidRPr="0052307E">
        <w:rPr>
          <w:sz w:val="18"/>
          <w:szCs w:val="18"/>
          <w:shd w:val="clear" w:color="auto" w:fill="FFFFFF"/>
          <w:lang w:val="en-GB" w:eastAsia="en-GB"/>
        </w:rPr>
        <w:t>Botabekovna</w:t>
      </w:r>
      <w:proofErr w:type="spellEnd"/>
      <w:r w:rsidRPr="0052307E">
        <w:rPr>
          <w:sz w:val="18"/>
          <w:szCs w:val="18"/>
          <w:shd w:val="clear" w:color="auto" w:fill="FFFFFF"/>
          <w:lang w:val="en-GB" w:eastAsia="en-GB"/>
        </w:rPr>
        <w:t>, “</w:t>
      </w:r>
      <w:proofErr w:type="spellStart"/>
      <w:r w:rsidRPr="0052307E">
        <w:rPr>
          <w:sz w:val="18"/>
          <w:szCs w:val="18"/>
          <w:shd w:val="clear" w:color="auto" w:fill="FFFFFF"/>
          <w:lang w:val="en-GB" w:eastAsia="en-GB"/>
        </w:rPr>
        <w:t>İlkokul</w:t>
      </w:r>
      <w:proofErr w:type="spellEnd"/>
      <w:r w:rsidRPr="0052307E">
        <w:rPr>
          <w:sz w:val="18"/>
          <w:szCs w:val="18"/>
          <w:shd w:val="clear" w:color="auto" w:fill="FFFFFF"/>
          <w:lang w:val="en-GB" w:eastAsia="en-GB"/>
        </w:rPr>
        <w:t xml:space="preserve"> </w:t>
      </w:r>
      <w:proofErr w:type="spellStart"/>
      <w:r w:rsidRPr="0052307E">
        <w:rPr>
          <w:sz w:val="18"/>
          <w:szCs w:val="18"/>
          <w:shd w:val="clear" w:color="auto" w:fill="FFFFFF"/>
          <w:lang w:val="en-GB" w:eastAsia="en-GB"/>
        </w:rPr>
        <w:t>öğrencilerinin</w:t>
      </w:r>
      <w:proofErr w:type="spellEnd"/>
      <w:r w:rsidRPr="0052307E">
        <w:rPr>
          <w:sz w:val="18"/>
          <w:szCs w:val="18"/>
          <w:shd w:val="clear" w:color="auto" w:fill="FFFFFF"/>
          <w:lang w:val="en-GB" w:eastAsia="en-GB"/>
        </w:rPr>
        <w:t xml:space="preserve"> </w:t>
      </w:r>
      <w:proofErr w:type="spellStart"/>
      <w:r w:rsidRPr="0052307E">
        <w:rPr>
          <w:sz w:val="18"/>
          <w:szCs w:val="18"/>
          <w:shd w:val="clear" w:color="auto" w:fill="FFFFFF"/>
          <w:lang w:val="en-GB" w:eastAsia="en-GB"/>
        </w:rPr>
        <w:t>kaynaştırma</w:t>
      </w:r>
      <w:proofErr w:type="spellEnd"/>
      <w:r w:rsidRPr="0052307E">
        <w:rPr>
          <w:sz w:val="18"/>
          <w:szCs w:val="18"/>
          <w:shd w:val="clear" w:color="auto" w:fill="FFFFFF"/>
          <w:lang w:val="en-GB" w:eastAsia="en-GB"/>
        </w:rPr>
        <w:t xml:space="preserve"> </w:t>
      </w:r>
      <w:proofErr w:type="spellStart"/>
      <w:r w:rsidRPr="0052307E">
        <w:rPr>
          <w:sz w:val="18"/>
          <w:szCs w:val="18"/>
          <w:shd w:val="clear" w:color="auto" w:fill="FFFFFF"/>
          <w:lang w:val="en-GB" w:eastAsia="en-GB"/>
        </w:rPr>
        <w:t>öğrencilerine</w:t>
      </w:r>
      <w:proofErr w:type="spellEnd"/>
      <w:r w:rsidRPr="0052307E">
        <w:rPr>
          <w:sz w:val="18"/>
          <w:szCs w:val="18"/>
          <w:shd w:val="clear" w:color="auto" w:fill="FFFFFF"/>
          <w:lang w:val="en-GB" w:eastAsia="en-GB"/>
        </w:rPr>
        <w:t xml:space="preserve"> </w:t>
      </w:r>
      <w:proofErr w:type="spellStart"/>
      <w:r w:rsidRPr="0052307E">
        <w:rPr>
          <w:sz w:val="18"/>
          <w:szCs w:val="18"/>
          <w:shd w:val="clear" w:color="auto" w:fill="FFFFFF"/>
          <w:lang w:val="en-GB" w:eastAsia="en-GB"/>
        </w:rPr>
        <w:t>yönelik</w:t>
      </w:r>
      <w:proofErr w:type="spellEnd"/>
      <w:r w:rsidRPr="0052307E">
        <w:rPr>
          <w:sz w:val="18"/>
          <w:szCs w:val="18"/>
          <w:shd w:val="clear" w:color="auto" w:fill="FFFFFF"/>
          <w:lang w:val="en-GB" w:eastAsia="en-GB"/>
        </w:rPr>
        <w:t xml:space="preserve"> </w:t>
      </w:r>
      <w:proofErr w:type="spellStart"/>
      <w:r w:rsidRPr="0052307E">
        <w:rPr>
          <w:sz w:val="18"/>
          <w:szCs w:val="18"/>
          <w:shd w:val="clear" w:color="auto" w:fill="FFFFFF"/>
          <w:lang w:val="en-GB" w:eastAsia="en-GB"/>
        </w:rPr>
        <w:t>sosyal</w:t>
      </w:r>
      <w:proofErr w:type="spellEnd"/>
      <w:r w:rsidRPr="0052307E">
        <w:rPr>
          <w:sz w:val="18"/>
          <w:szCs w:val="18"/>
          <w:shd w:val="clear" w:color="auto" w:fill="FFFFFF"/>
          <w:lang w:val="en-GB" w:eastAsia="en-GB"/>
        </w:rPr>
        <w:t xml:space="preserve"> </w:t>
      </w:r>
      <w:proofErr w:type="spellStart"/>
      <w:proofErr w:type="gramStart"/>
      <w:r w:rsidRPr="0052307E">
        <w:rPr>
          <w:sz w:val="18"/>
          <w:szCs w:val="18"/>
          <w:shd w:val="clear" w:color="auto" w:fill="FFFFFF"/>
          <w:lang w:val="en-GB" w:eastAsia="en-GB"/>
        </w:rPr>
        <w:t>kabul</w:t>
      </w:r>
      <w:proofErr w:type="spellEnd"/>
      <w:proofErr w:type="gramEnd"/>
      <w:r w:rsidRPr="0052307E">
        <w:rPr>
          <w:sz w:val="18"/>
          <w:szCs w:val="18"/>
          <w:shd w:val="clear" w:color="auto" w:fill="FFFFFF"/>
          <w:lang w:val="en-GB" w:eastAsia="en-GB"/>
        </w:rPr>
        <w:t xml:space="preserve"> </w:t>
      </w:r>
      <w:proofErr w:type="spellStart"/>
      <w:r w:rsidRPr="0052307E">
        <w:rPr>
          <w:sz w:val="18"/>
          <w:szCs w:val="18"/>
          <w:shd w:val="clear" w:color="auto" w:fill="FFFFFF"/>
          <w:lang w:val="en-GB" w:eastAsia="en-GB"/>
        </w:rPr>
        <w:t>düzeylerinin</w:t>
      </w:r>
      <w:proofErr w:type="spellEnd"/>
      <w:r w:rsidRPr="0052307E">
        <w:rPr>
          <w:sz w:val="18"/>
          <w:szCs w:val="18"/>
          <w:shd w:val="clear" w:color="auto" w:fill="FFFFFF"/>
          <w:lang w:val="en-GB" w:eastAsia="en-GB"/>
        </w:rPr>
        <w:t xml:space="preserve"> </w:t>
      </w:r>
      <w:proofErr w:type="spellStart"/>
      <w:r w:rsidRPr="0052307E">
        <w:rPr>
          <w:sz w:val="18"/>
          <w:szCs w:val="18"/>
          <w:shd w:val="clear" w:color="auto" w:fill="FFFFFF"/>
          <w:lang w:val="en-GB" w:eastAsia="en-GB"/>
        </w:rPr>
        <w:t>belirlenmesi</w:t>
      </w:r>
      <w:proofErr w:type="spellEnd"/>
      <w:r w:rsidRPr="0052307E">
        <w:rPr>
          <w:sz w:val="18"/>
          <w:szCs w:val="18"/>
          <w:shd w:val="clear" w:color="auto" w:fill="FFFFFF"/>
          <w:lang w:val="en-GB" w:eastAsia="en-GB"/>
        </w:rPr>
        <w:t xml:space="preserve">: </w:t>
      </w:r>
      <w:proofErr w:type="spellStart"/>
      <w:r w:rsidRPr="0052307E">
        <w:rPr>
          <w:sz w:val="18"/>
          <w:szCs w:val="18"/>
          <w:shd w:val="clear" w:color="auto" w:fill="FFFFFF"/>
          <w:lang w:val="en-GB" w:eastAsia="en-GB"/>
        </w:rPr>
        <w:t>Bir</w:t>
      </w:r>
      <w:proofErr w:type="spellEnd"/>
      <w:r w:rsidRPr="0052307E">
        <w:rPr>
          <w:sz w:val="18"/>
          <w:szCs w:val="18"/>
          <w:shd w:val="clear" w:color="auto" w:fill="FFFFFF"/>
          <w:lang w:val="en-GB" w:eastAsia="en-GB"/>
        </w:rPr>
        <w:t xml:space="preserve"> karma </w:t>
      </w:r>
      <w:proofErr w:type="spellStart"/>
      <w:r w:rsidRPr="0052307E">
        <w:rPr>
          <w:sz w:val="18"/>
          <w:szCs w:val="18"/>
          <w:shd w:val="clear" w:color="auto" w:fill="FFFFFF"/>
          <w:lang w:val="en-GB" w:eastAsia="en-GB"/>
        </w:rPr>
        <w:t>yöntem</w:t>
      </w:r>
      <w:proofErr w:type="spellEnd"/>
      <w:r w:rsidRPr="0052307E">
        <w:rPr>
          <w:sz w:val="18"/>
          <w:szCs w:val="18"/>
          <w:shd w:val="clear" w:color="auto" w:fill="FFFFFF"/>
          <w:lang w:val="en-GB" w:eastAsia="en-GB"/>
        </w:rPr>
        <w:t xml:space="preserve"> </w:t>
      </w:r>
      <w:proofErr w:type="spellStart"/>
      <w:r w:rsidRPr="0052307E">
        <w:rPr>
          <w:sz w:val="18"/>
          <w:szCs w:val="18"/>
          <w:shd w:val="clear" w:color="auto" w:fill="FFFFFF"/>
          <w:lang w:val="en-GB" w:eastAsia="en-GB"/>
        </w:rPr>
        <w:t>çalışması</w:t>
      </w:r>
      <w:proofErr w:type="spellEnd"/>
      <w:r w:rsidRPr="0052307E">
        <w:rPr>
          <w:sz w:val="18"/>
          <w:szCs w:val="18"/>
          <w:shd w:val="clear" w:color="auto" w:fill="FFFFFF"/>
          <w:lang w:val="en-GB" w:eastAsia="en-GB"/>
        </w:rPr>
        <w:t xml:space="preserve"> [</w:t>
      </w:r>
      <w:r w:rsidRPr="0052307E">
        <w:rPr>
          <w:sz w:val="18"/>
          <w:szCs w:val="18"/>
          <w:lang w:bidi="th-TH"/>
        </w:rPr>
        <w:t>Determination of Social Acceptance Levels of Primary School Students towards Inclusive Students: A Mixed Method Study],”</w:t>
      </w:r>
      <w:r w:rsidRPr="0052307E">
        <w:rPr>
          <w:sz w:val="18"/>
          <w:szCs w:val="18"/>
          <w:shd w:val="clear" w:color="auto" w:fill="FFFFFF"/>
          <w:lang w:val="en-GB" w:eastAsia="en-GB"/>
        </w:rPr>
        <w:t> </w:t>
      </w:r>
      <w:r w:rsidRPr="0052307E">
        <w:rPr>
          <w:i/>
          <w:iCs/>
          <w:sz w:val="18"/>
          <w:szCs w:val="18"/>
          <w:shd w:val="clear" w:color="auto" w:fill="FFFFFF"/>
          <w:lang w:val="en-GB" w:eastAsia="en-GB"/>
        </w:rPr>
        <w:t>Elementary Education Online</w:t>
      </w:r>
      <w:r w:rsidRPr="0052307E">
        <w:rPr>
          <w:sz w:val="18"/>
          <w:szCs w:val="18"/>
          <w:shd w:val="clear" w:color="auto" w:fill="FFFFFF"/>
          <w:lang w:val="en-GB" w:eastAsia="en-GB"/>
        </w:rPr>
        <w:t xml:space="preserve">, vol. </w:t>
      </w:r>
      <w:r w:rsidRPr="0052307E">
        <w:rPr>
          <w:iCs/>
          <w:sz w:val="18"/>
          <w:szCs w:val="18"/>
          <w:shd w:val="clear" w:color="auto" w:fill="FFFFFF"/>
          <w:lang w:val="en-GB" w:eastAsia="en-GB"/>
        </w:rPr>
        <w:t xml:space="preserve">18, no. </w:t>
      </w:r>
      <w:r w:rsidRPr="0052307E">
        <w:rPr>
          <w:sz w:val="18"/>
          <w:szCs w:val="18"/>
          <w:shd w:val="clear" w:color="auto" w:fill="FFFFFF"/>
          <w:lang w:val="en-GB" w:eastAsia="en-GB"/>
        </w:rPr>
        <w:t xml:space="preserve">4, pp. </w:t>
      </w:r>
      <w:r w:rsidRPr="0052307E">
        <w:rPr>
          <w:sz w:val="18"/>
          <w:szCs w:val="18"/>
          <w:lang w:val="en-GB" w:eastAsia="en-GB"/>
        </w:rPr>
        <w:t xml:space="preserve">1520-1538, </w:t>
      </w:r>
      <w:r w:rsidRPr="0052307E">
        <w:rPr>
          <w:sz w:val="18"/>
          <w:szCs w:val="18"/>
          <w:shd w:val="clear" w:color="auto" w:fill="FFFFFF"/>
          <w:lang w:val="en-GB" w:eastAsia="en-GB"/>
        </w:rPr>
        <w:t>2019</w:t>
      </w:r>
      <w:r w:rsidRPr="0052307E">
        <w:rPr>
          <w:sz w:val="18"/>
          <w:szCs w:val="18"/>
          <w:lang w:val="en-GB" w:eastAsia="en-GB"/>
        </w:rPr>
        <w:t xml:space="preserve">. </w:t>
      </w:r>
      <w:r w:rsidRPr="0052307E">
        <w:rPr>
          <w:sz w:val="18"/>
          <w:szCs w:val="18"/>
          <w:lang w:bidi="th-TH"/>
        </w:rPr>
        <w:t>doi:</w:t>
      </w:r>
      <w:hyperlink r:id="rId12" w:history="1">
        <w:r w:rsidRPr="0052307E">
          <w:rPr>
            <w:sz w:val="18"/>
            <w:szCs w:val="18"/>
            <w:u w:val="single"/>
            <w:bdr w:val="none" w:sz="0" w:space="0" w:color="auto" w:frame="1"/>
            <w:lang w:bidi="th-TH"/>
          </w:rPr>
          <w:t>10.17051/ilkonline.2019.632374</w:t>
        </w:r>
      </w:hyperlink>
    </w:p>
    <w:p w14:paraId="678940D9" w14:textId="77777777" w:rsidR="0052307E" w:rsidRPr="0052307E" w:rsidRDefault="0052307E" w:rsidP="0052307E">
      <w:pPr>
        <w:numPr>
          <w:ilvl w:val="0"/>
          <w:numId w:val="17"/>
        </w:numPr>
        <w:ind w:left="426" w:hanging="426"/>
        <w:contextualSpacing/>
        <w:jc w:val="both"/>
        <w:rPr>
          <w:color w:val="000000"/>
          <w:sz w:val="18"/>
          <w:szCs w:val="18"/>
          <w:lang w:val="en-GB" w:eastAsia="en-GB"/>
        </w:rPr>
      </w:pPr>
      <w:r w:rsidRPr="0052307E">
        <w:rPr>
          <w:sz w:val="18"/>
          <w:szCs w:val="18"/>
          <w:lang w:val="en-GB" w:eastAsia="en-GB"/>
        </w:rPr>
        <w:t xml:space="preserve">E. </w:t>
      </w:r>
      <w:proofErr w:type="spellStart"/>
      <w:r w:rsidRPr="0052307E">
        <w:rPr>
          <w:sz w:val="18"/>
          <w:szCs w:val="18"/>
          <w:lang w:val="en-GB" w:eastAsia="en-GB"/>
        </w:rPr>
        <w:t>Arslan</w:t>
      </w:r>
      <w:proofErr w:type="spellEnd"/>
      <w:r w:rsidRPr="0052307E">
        <w:rPr>
          <w:sz w:val="18"/>
          <w:szCs w:val="18"/>
          <w:lang w:val="en-GB" w:eastAsia="en-GB"/>
        </w:rPr>
        <w:t>, “</w:t>
      </w:r>
      <w:proofErr w:type="spellStart"/>
      <w:r w:rsidRPr="0052307E">
        <w:rPr>
          <w:i/>
          <w:sz w:val="18"/>
          <w:szCs w:val="18"/>
          <w:lang w:val="en-GB" w:eastAsia="en-GB"/>
        </w:rPr>
        <w:t>Kaynaştırma</w:t>
      </w:r>
      <w:proofErr w:type="spellEnd"/>
      <w:r w:rsidRPr="0052307E">
        <w:rPr>
          <w:i/>
          <w:sz w:val="18"/>
          <w:szCs w:val="18"/>
          <w:lang w:val="en-GB" w:eastAsia="en-GB"/>
        </w:rPr>
        <w:t xml:space="preserve"> </w:t>
      </w:r>
      <w:proofErr w:type="spellStart"/>
      <w:r w:rsidRPr="0052307E">
        <w:rPr>
          <w:i/>
          <w:sz w:val="18"/>
          <w:szCs w:val="18"/>
          <w:lang w:val="en-GB" w:eastAsia="en-GB"/>
        </w:rPr>
        <w:t>uygulamalarına</w:t>
      </w:r>
      <w:proofErr w:type="spellEnd"/>
      <w:r w:rsidRPr="0052307E">
        <w:rPr>
          <w:i/>
          <w:sz w:val="18"/>
          <w:szCs w:val="18"/>
          <w:lang w:val="en-GB" w:eastAsia="en-GB"/>
        </w:rPr>
        <w:t xml:space="preserve"> </w:t>
      </w:r>
      <w:proofErr w:type="spellStart"/>
      <w:r w:rsidRPr="0052307E">
        <w:rPr>
          <w:i/>
          <w:sz w:val="18"/>
          <w:szCs w:val="18"/>
          <w:lang w:val="en-GB" w:eastAsia="en-GB"/>
        </w:rPr>
        <w:t>katılan</w:t>
      </w:r>
      <w:proofErr w:type="spellEnd"/>
      <w:r w:rsidRPr="0052307E">
        <w:rPr>
          <w:i/>
          <w:sz w:val="18"/>
          <w:szCs w:val="18"/>
          <w:lang w:val="en-GB" w:eastAsia="en-GB"/>
        </w:rPr>
        <w:t xml:space="preserve"> </w:t>
      </w:r>
      <w:proofErr w:type="spellStart"/>
      <w:r w:rsidRPr="0052307E">
        <w:rPr>
          <w:i/>
          <w:sz w:val="18"/>
          <w:szCs w:val="18"/>
          <w:lang w:val="en-GB" w:eastAsia="en-GB"/>
        </w:rPr>
        <w:t>engelli</w:t>
      </w:r>
      <w:proofErr w:type="spellEnd"/>
      <w:r w:rsidRPr="0052307E">
        <w:rPr>
          <w:i/>
          <w:sz w:val="18"/>
          <w:szCs w:val="18"/>
          <w:lang w:val="en-GB" w:eastAsia="en-GB"/>
        </w:rPr>
        <w:t xml:space="preserve"> </w:t>
      </w:r>
      <w:proofErr w:type="spellStart"/>
      <w:r w:rsidRPr="0052307E">
        <w:rPr>
          <w:i/>
          <w:sz w:val="18"/>
          <w:szCs w:val="18"/>
          <w:lang w:val="en-GB" w:eastAsia="en-GB"/>
        </w:rPr>
        <w:t>öğrencilerin</w:t>
      </w:r>
      <w:proofErr w:type="spellEnd"/>
      <w:r w:rsidRPr="0052307E">
        <w:rPr>
          <w:i/>
          <w:sz w:val="18"/>
          <w:szCs w:val="18"/>
          <w:lang w:val="en-GB" w:eastAsia="en-GB"/>
        </w:rPr>
        <w:t xml:space="preserve"> </w:t>
      </w:r>
      <w:proofErr w:type="spellStart"/>
      <w:r w:rsidRPr="0052307E">
        <w:rPr>
          <w:i/>
          <w:color w:val="000000"/>
          <w:sz w:val="18"/>
          <w:szCs w:val="18"/>
          <w:lang w:val="en-GB" w:eastAsia="en-GB"/>
        </w:rPr>
        <w:t>sosyal</w:t>
      </w:r>
      <w:proofErr w:type="spellEnd"/>
      <w:r w:rsidRPr="0052307E">
        <w:rPr>
          <w:i/>
          <w:color w:val="000000"/>
          <w:sz w:val="18"/>
          <w:szCs w:val="18"/>
          <w:lang w:val="en-GB" w:eastAsia="en-GB"/>
        </w:rPr>
        <w:t xml:space="preserve"> </w:t>
      </w:r>
      <w:proofErr w:type="spellStart"/>
      <w:proofErr w:type="gramStart"/>
      <w:r w:rsidRPr="0052307E">
        <w:rPr>
          <w:i/>
          <w:color w:val="000000"/>
          <w:sz w:val="18"/>
          <w:szCs w:val="18"/>
          <w:lang w:val="en-GB" w:eastAsia="en-GB"/>
        </w:rPr>
        <w:t>kabul</w:t>
      </w:r>
      <w:proofErr w:type="spellEnd"/>
      <w:proofErr w:type="gramEnd"/>
      <w:r w:rsidRPr="0052307E">
        <w:rPr>
          <w:i/>
          <w:color w:val="000000"/>
          <w:sz w:val="18"/>
          <w:szCs w:val="18"/>
          <w:lang w:val="en-GB" w:eastAsia="en-GB"/>
        </w:rPr>
        <w:t xml:space="preserve"> </w:t>
      </w:r>
      <w:proofErr w:type="spellStart"/>
      <w:r w:rsidRPr="0052307E">
        <w:rPr>
          <w:i/>
          <w:color w:val="000000"/>
          <w:sz w:val="18"/>
          <w:szCs w:val="18"/>
          <w:lang w:val="en-GB" w:eastAsia="en-GB"/>
        </w:rPr>
        <w:t>düzeylerinin</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belirlenmesine</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yönelik</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ölçek</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geliştirme</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çalışması</w:t>
      </w:r>
      <w:proofErr w:type="spellEnd"/>
      <w:r w:rsidRPr="0052307E">
        <w:rPr>
          <w:i/>
          <w:color w:val="000000"/>
          <w:sz w:val="18"/>
          <w:szCs w:val="18"/>
          <w:lang w:val="en-GB" w:eastAsia="en-GB"/>
        </w:rPr>
        <w:t xml:space="preserve"> </w:t>
      </w:r>
      <w:r w:rsidRPr="0052307E">
        <w:rPr>
          <w:color w:val="000000"/>
          <w:sz w:val="18"/>
          <w:szCs w:val="18"/>
          <w:lang w:val="en-GB" w:eastAsia="en-GB"/>
        </w:rPr>
        <w:t>[A scale development study of social acceptance levels for disabled students who integrated primary school],” (</w:t>
      </w:r>
      <w:r w:rsidRPr="0052307E">
        <w:rPr>
          <w:sz w:val="18"/>
          <w:szCs w:val="18"/>
          <w:lang w:bidi="th-TH"/>
        </w:rPr>
        <w:t xml:space="preserve">Unpublished Master's Thesis). </w:t>
      </w:r>
      <w:r w:rsidRPr="0052307E">
        <w:rPr>
          <w:color w:val="000000"/>
          <w:sz w:val="18"/>
          <w:szCs w:val="18"/>
          <w:lang w:val="en-GB" w:eastAsia="en-GB"/>
        </w:rPr>
        <w:t xml:space="preserve">Mehmet </w:t>
      </w:r>
      <w:proofErr w:type="spellStart"/>
      <w:r w:rsidRPr="0052307E">
        <w:rPr>
          <w:color w:val="000000"/>
          <w:sz w:val="18"/>
          <w:szCs w:val="18"/>
          <w:lang w:val="en-GB" w:eastAsia="en-GB"/>
        </w:rPr>
        <w:t>Akif</w:t>
      </w:r>
      <w:proofErr w:type="spellEnd"/>
      <w:r w:rsidRPr="0052307E">
        <w:rPr>
          <w:color w:val="000000"/>
          <w:sz w:val="18"/>
          <w:szCs w:val="18"/>
          <w:lang w:val="en-GB" w:eastAsia="en-GB"/>
        </w:rPr>
        <w:t xml:space="preserve"> </w:t>
      </w:r>
      <w:proofErr w:type="spellStart"/>
      <w:r w:rsidRPr="0052307E">
        <w:rPr>
          <w:color w:val="000000"/>
          <w:sz w:val="18"/>
          <w:szCs w:val="18"/>
          <w:lang w:val="en-GB" w:eastAsia="en-GB"/>
        </w:rPr>
        <w:t>Ersoy</w:t>
      </w:r>
      <w:proofErr w:type="spellEnd"/>
      <w:r w:rsidRPr="0052307E">
        <w:rPr>
          <w:color w:val="000000"/>
          <w:sz w:val="18"/>
          <w:szCs w:val="18"/>
          <w:lang w:val="en-GB" w:eastAsia="en-GB"/>
        </w:rPr>
        <w:t xml:space="preserve"> University, </w:t>
      </w:r>
      <w:proofErr w:type="spellStart"/>
      <w:r w:rsidRPr="0052307E">
        <w:rPr>
          <w:color w:val="000000"/>
          <w:sz w:val="18"/>
          <w:szCs w:val="18"/>
          <w:lang w:val="en-GB" w:eastAsia="en-GB"/>
        </w:rPr>
        <w:t>Burdur</w:t>
      </w:r>
      <w:proofErr w:type="spellEnd"/>
      <w:r w:rsidRPr="0052307E">
        <w:rPr>
          <w:color w:val="000000"/>
          <w:sz w:val="18"/>
          <w:szCs w:val="18"/>
          <w:lang w:val="en-GB" w:eastAsia="en-GB"/>
        </w:rPr>
        <w:t>, 2010.</w:t>
      </w:r>
    </w:p>
    <w:p w14:paraId="1789ABA4" w14:textId="77777777" w:rsidR="0052307E" w:rsidRPr="0052307E" w:rsidRDefault="0052307E" w:rsidP="0052307E">
      <w:pPr>
        <w:numPr>
          <w:ilvl w:val="0"/>
          <w:numId w:val="17"/>
        </w:numPr>
        <w:ind w:left="426" w:hanging="426"/>
        <w:contextualSpacing/>
        <w:jc w:val="both"/>
        <w:rPr>
          <w:bCs/>
          <w:color w:val="000000"/>
          <w:sz w:val="18"/>
          <w:szCs w:val="18"/>
          <w:lang w:val="en-GB" w:eastAsia="en-GB"/>
        </w:rPr>
      </w:pPr>
      <w:r w:rsidRPr="0052307E">
        <w:rPr>
          <w:color w:val="000000"/>
          <w:sz w:val="18"/>
          <w:szCs w:val="18"/>
          <w:lang w:val="en-GB" w:eastAsia="en-GB"/>
        </w:rPr>
        <w:t xml:space="preserve">A. H. </w:t>
      </w:r>
      <w:proofErr w:type="spellStart"/>
      <w:r w:rsidRPr="0052307E">
        <w:rPr>
          <w:color w:val="000000"/>
          <w:sz w:val="18"/>
          <w:szCs w:val="18"/>
          <w:lang w:val="en-GB" w:eastAsia="en-GB"/>
        </w:rPr>
        <w:t>Civelek</w:t>
      </w:r>
      <w:proofErr w:type="spellEnd"/>
      <w:r w:rsidRPr="0052307E">
        <w:rPr>
          <w:color w:val="000000"/>
          <w:sz w:val="18"/>
          <w:szCs w:val="18"/>
          <w:lang w:val="en-GB" w:eastAsia="en-GB"/>
        </w:rPr>
        <w:t>, “</w:t>
      </w:r>
      <w:proofErr w:type="spellStart"/>
      <w:r w:rsidRPr="0052307E">
        <w:rPr>
          <w:i/>
          <w:color w:val="000000"/>
          <w:sz w:val="18"/>
          <w:szCs w:val="18"/>
          <w:lang w:val="en-GB" w:eastAsia="en-GB"/>
        </w:rPr>
        <w:t>Eğitilebilir</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zihinsel</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özürlü</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çocukların</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sosyal</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kabul</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görmelerinde</w:t>
      </w:r>
      <w:proofErr w:type="spellEnd"/>
      <w:r w:rsidRPr="0052307E">
        <w:rPr>
          <w:i/>
          <w:color w:val="000000"/>
          <w:sz w:val="18"/>
          <w:szCs w:val="18"/>
          <w:lang w:val="en-GB" w:eastAsia="en-GB"/>
        </w:rPr>
        <w:t xml:space="preserve"> normal </w:t>
      </w:r>
      <w:proofErr w:type="spellStart"/>
      <w:r w:rsidRPr="0052307E">
        <w:rPr>
          <w:i/>
          <w:color w:val="000000"/>
          <w:sz w:val="18"/>
          <w:szCs w:val="18"/>
          <w:lang w:val="en-GB" w:eastAsia="en-GB"/>
        </w:rPr>
        <w:t>çocukların</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bilgilendirilmelerinin</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ve</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iki</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grubun</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resim-iş</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ile</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beden</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eğitimi</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derslerinde</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bütünleştirilmelerinin</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etkileri</w:t>
      </w:r>
      <w:proofErr w:type="spellEnd"/>
      <w:r w:rsidRPr="0052307E">
        <w:rPr>
          <w:i/>
          <w:color w:val="000000"/>
          <w:sz w:val="18"/>
          <w:szCs w:val="18"/>
          <w:lang w:val="en-GB" w:eastAsia="en-GB"/>
        </w:rPr>
        <w:t xml:space="preserve">,” </w:t>
      </w:r>
      <w:r w:rsidRPr="0052307E">
        <w:rPr>
          <w:color w:val="000000"/>
          <w:sz w:val="18"/>
          <w:szCs w:val="18"/>
          <w:lang w:val="en-GB" w:eastAsia="en-GB"/>
        </w:rPr>
        <w:t>(</w:t>
      </w:r>
      <w:r w:rsidRPr="0052307E">
        <w:rPr>
          <w:sz w:val="18"/>
          <w:szCs w:val="18"/>
          <w:lang w:bidi="th-TH"/>
        </w:rPr>
        <w:t xml:space="preserve">Unpublished Doctoral Dissertation). </w:t>
      </w:r>
      <w:r w:rsidRPr="0052307E">
        <w:rPr>
          <w:color w:val="000000"/>
          <w:sz w:val="18"/>
          <w:szCs w:val="18"/>
          <w:lang w:val="en-GB" w:eastAsia="en-GB"/>
        </w:rPr>
        <w:t>Ankara University, Ankara, 1990.</w:t>
      </w:r>
    </w:p>
    <w:p w14:paraId="178A5ECA" w14:textId="77777777" w:rsidR="0052307E" w:rsidRPr="0052307E" w:rsidRDefault="0052307E" w:rsidP="0052307E">
      <w:pPr>
        <w:numPr>
          <w:ilvl w:val="0"/>
          <w:numId w:val="17"/>
        </w:numPr>
        <w:ind w:left="426" w:hanging="426"/>
        <w:contextualSpacing/>
        <w:jc w:val="both"/>
        <w:rPr>
          <w:color w:val="000000"/>
          <w:sz w:val="18"/>
          <w:szCs w:val="18"/>
          <w:lang w:val="en-GB" w:eastAsia="en-GB"/>
        </w:rPr>
      </w:pPr>
      <w:r w:rsidRPr="0052307E">
        <w:rPr>
          <w:color w:val="222222"/>
          <w:sz w:val="18"/>
          <w:szCs w:val="18"/>
          <w:shd w:val="clear" w:color="auto" w:fill="FFFFFF"/>
          <w:lang w:val="en-GB" w:eastAsia="en-GB"/>
        </w:rPr>
        <w:t xml:space="preserve">Ö. </w:t>
      </w:r>
      <w:proofErr w:type="spellStart"/>
      <w:r w:rsidRPr="0052307E">
        <w:rPr>
          <w:color w:val="222222"/>
          <w:sz w:val="18"/>
          <w:szCs w:val="18"/>
          <w:shd w:val="clear" w:color="auto" w:fill="FFFFFF"/>
          <w:lang w:val="en-GB" w:eastAsia="en-GB"/>
        </w:rPr>
        <w:t>Özkan-Yaşaran</w:t>
      </w:r>
      <w:proofErr w:type="spellEnd"/>
      <w:r w:rsidRPr="0052307E">
        <w:rPr>
          <w:color w:val="222222"/>
          <w:sz w:val="18"/>
          <w:szCs w:val="18"/>
          <w:shd w:val="clear" w:color="auto" w:fill="FFFFFF"/>
          <w:lang w:val="en-GB" w:eastAsia="en-GB"/>
        </w:rPr>
        <w:t xml:space="preserve">, S. </w:t>
      </w:r>
      <w:proofErr w:type="spellStart"/>
      <w:r w:rsidRPr="0052307E">
        <w:rPr>
          <w:color w:val="222222"/>
          <w:sz w:val="18"/>
          <w:szCs w:val="18"/>
          <w:shd w:val="clear" w:color="auto" w:fill="FFFFFF"/>
          <w:lang w:val="en-GB" w:eastAsia="en-GB"/>
        </w:rPr>
        <w:t>Batu</w:t>
      </w:r>
      <w:proofErr w:type="spellEnd"/>
      <w:r w:rsidRPr="0052307E">
        <w:rPr>
          <w:color w:val="222222"/>
          <w:sz w:val="18"/>
          <w:szCs w:val="18"/>
          <w:shd w:val="clear" w:color="auto" w:fill="FFFFFF"/>
          <w:lang w:val="en-GB" w:eastAsia="en-GB"/>
        </w:rPr>
        <w:t xml:space="preserve"> and A. </w:t>
      </w:r>
      <w:proofErr w:type="spellStart"/>
      <w:r w:rsidRPr="0052307E">
        <w:rPr>
          <w:color w:val="222222"/>
          <w:sz w:val="18"/>
          <w:szCs w:val="18"/>
          <w:shd w:val="clear" w:color="auto" w:fill="FFFFFF"/>
          <w:lang w:val="en-GB" w:eastAsia="en-GB"/>
        </w:rPr>
        <w:t>Özen</w:t>
      </w:r>
      <w:proofErr w:type="spellEnd"/>
      <w:r w:rsidRPr="0052307E">
        <w:rPr>
          <w:color w:val="222222"/>
          <w:sz w:val="18"/>
          <w:szCs w:val="18"/>
          <w:shd w:val="clear" w:color="auto" w:fill="FFFFFF"/>
          <w:lang w:val="en-GB" w:eastAsia="en-GB"/>
        </w:rPr>
        <w:t>, “</w:t>
      </w:r>
      <w:proofErr w:type="spellStart"/>
      <w:r w:rsidRPr="0052307E">
        <w:rPr>
          <w:color w:val="222222"/>
          <w:sz w:val="18"/>
          <w:szCs w:val="18"/>
          <w:shd w:val="clear" w:color="auto" w:fill="FFFFFF"/>
          <w:lang w:val="en-GB" w:eastAsia="en-GB"/>
        </w:rPr>
        <w:t>Özel</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gereksinimli</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bireylerin</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sosyal</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kabullerini</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sağlamada</w:t>
      </w:r>
      <w:proofErr w:type="spellEnd"/>
      <w:r w:rsidRPr="0052307E">
        <w:rPr>
          <w:color w:val="222222"/>
          <w:sz w:val="18"/>
          <w:szCs w:val="18"/>
          <w:shd w:val="clear" w:color="auto" w:fill="FFFFFF"/>
          <w:lang w:val="en-GB" w:eastAsia="en-GB"/>
        </w:rPr>
        <w:t xml:space="preserve"> normal </w:t>
      </w:r>
      <w:proofErr w:type="spellStart"/>
      <w:r w:rsidRPr="0052307E">
        <w:rPr>
          <w:color w:val="222222"/>
          <w:sz w:val="18"/>
          <w:szCs w:val="18"/>
          <w:shd w:val="clear" w:color="auto" w:fill="FFFFFF"/>
          <w:lang w:val="en-GB" w:eastAsia="en-GB"/>
        </w:rPr>
        <w:t>gelişim</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gösteren</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öğrencilere</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sunulan</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kaynaştırmaya</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hazırlık</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etkinliklerinin</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etkisi</w:t>
      </w:r>
      <w:proofErr w:type="spellEnd"/>
      <w:r w:rsidRPr="0052307E">
        <w:rPr>
          <w:color w:val="222222"/>
          <w:sz w:val="18"/>
          <w:szCs w:val="18"/>
          <w:shd w:val="clear" w:color="auto" w:fill="FFFFFF"/>
          <w:lang w:val="en-GB" w:eastAsia="en-GB"/>
        </w:rPr>
        <w:t xml:space="preserve"> [The effects of inclusion preparation activities on providing social acceptance of typical students for students with special needs],” </w:t>
      </w:r>
      <w:proofErr w:type="spellStart"/>
      <w:r w:rsidRPr="0052307E">
        <w:rPr>
          <w:i/>
          <w:sz w:val="18"/>
          <w:szCs w:val="18"/>
          <w:lang w:val="en-GB" w:eastAsia="en-GB"/>
        </w:rPr>
        <w:t>Anadolu</w:t>
      </w:r>
      <w:proofErr w:type="spellEnd"/>
      <w:r w:rsidRPr="0052307E">
        <w:rPr>
          <w:i/>
          <w:sz w:val="18"/>
          <w:szCs w:val="18"/>
          <w:lang w:val="en-GB" w:eastAsia="en-GB"/>
        </w:rPr>
        <w:t xml:space="preserve"> University Journal of Social Sciences (AUJSS)</w:t>
      </w:r>
      <w:r w:rsidRPr="0052307E">
        <w:rPr>
          <w:sz w:val="18"/>
          <w:szCs w:val="18"/>
          <w:lang w:val="en-GB" w:eastAsia="en-GB"/>
        </w:rPr>
        <w:t xml:space="preserve">, vol.14, no. 3, pp. 167-180, </w:t>
      </w:r>
      <w:r w:rsidRPr="0052307E">
        <w:rPr>
          <w:color w:val="222222"/>
          <w:sz w:val="18"/>
          <w:szCs w:val="18"/>
          <w:shd w:val="clear" w:color="auto" w:fill="FFFFFF"/>
          <w:lang w:val="en-GB" w:eastAsia="en-GB"/>
        </w:rPr>
        <w:t>2014</w:t>
      </w:r>
      <w:r w:rsidRPr="0052307E">
        <w:rPr>
          <w:sz w:val="18"/>
          <w:szCs w:val="18"/>
          <w:lang w:val="en-GB" w:eastAsia="en-GB"/>
        </w:rPr>
        <w:t xml:space="preserve">. </w:t>
      </w:r>
      <w:proofErr w:type="spellStart"/>
      <w:r w:rsidRPr="0052307E">
        <w:rPr>
          <w:sz w:val="18"/>
          <w:szCs w:val="18"/>
          <w:lang w:val="en-GB" w:eastAsia="en-GB"/>
        </w:rPr>
        <w:t>doi</w:t>
      </w:r>
      <w:proofErr w:type="spellEnd"/>
      <w:r w:rsidRPr="0052307E">
        <w:rPr>
          <w:sz w:val="18"/>
          <w:szCs w:val="18"/>
          <w:lang w:val="en-GB" w:eastAsia="en-GB"/>
        </w:rPr>
        <w:t>:</w:t>
      </w:r>
      <w:hyperlink r:id="rId13" w:history="1">
        <w:r w:rsidRPr="0052307E">
          <w:rPr>
            <w:color w:val="007398"/>
            <w:sz w:val="18"/>
            <w:szCs w:val="18"/>
            <w:u w:val="single"/>
            <w:shd w:val="clear" w:color="auto" w:fill="FFFFFF"/>
            <w:lang w:bidi="th-TH"/>
          </w:rPr>
          <w:t>https://doi.org/10.18037/ausbd.92732</w:t>
        </w:r>
      </w:hyperlink>
    </w:p>
    <w:p w14:paraId="3263254E" w14:textId="77777777" w:rsidR="0052307E" w:rsidRPr="0052307E" w:rsidRDefault="0052307E" w:rsidP="0052307E">
      <w:pPr>
        <w:numPr>
          <w:ilvl w:val="0"/>
          <w:numId w:val="17"/>
        </w:numPr>
        <w:ind w:left="426" w:hanging="426"/>
        <w:contextualSpacing/>
        <w:jc w:val="both"/>
        <w:rPr>
          <w:color w:val="000000"/>
          <w:sz w:val="18"/>
          <w:szCs w:val="18"/>
          <w:lang w:val="en-GB" w:eastAsia="en-GB"/>
        </w:rPr>
      </w:pPr>
      <w:r w:rsidRPr="0052307E">
        <w:rPr>
          <w:color w:val="000000"/>
          <w:sz w:val="18"/>
          <w:szCs w:val="18"/>
          <w:lang w:val="en-GB" w:eastAsia="en-GB"/>
        </w:rPr>
        <w:t xml:space="preserve">Ü. </w:t>
      </w:r>
      <w:proofErr w:type="spellStart"/>
      <w:r w:rsidRPr="0052307E">
        <w:rPr>
          <w:color w:val="000000"/>
          <w:sz w:val="18"/>
          <w:szCs w:val="18"/>
          <w:lang w:val="en-GB" w:eastAsia="en-GB"/>
        </w:rPr>
        <w:t>Şahbaz</w:t>
      </w:r>
      <w:proofErr w:type="spellEnd"/>
      <w:r w:rsidRPr="0052307E">
        <w:rPr>
          <w:color w:val="000000"/>
          <w:sz w:val="18"/>
          <w:szCs w:val="18"/>
          <w:lang w:val="en-GB" w:eastAsia="en-GB"/>
        </w:rPr>
        <w:t xml:space="preserve">, “The influence of informing normal students attending integrated classes on retarded students' social acceptance levels,” </w:t>
      </w:r>
      <w:r w:rsidRPr="0052307E">
        <w:rPr>
          <w:i/>
          <w:iCs/>
          <w:color w:val="000000"/>
          <w:sz w:val="18"/>
          <w:szCs w:val="18"/>
          <w:lang w:val="en-GB" w:eastAsia="en-GB"/>
        </w:rPr>
        <w:t>Eurasian Journal of Edu</w:t>
      </w:r>
      <w:r w:rsidRPr="0052307E">
        <w:rPr>
          <w:i/>
          <w:iCs/>
          <w:color w:val="000000"/>
          <w:sz w:val="18"/>
          <w:szCs w:val="18"/>
          <w:lang w:val="en-GB" w:eastAsia="en-GB"/>
        </w:rPr>
        <w:softHyphen/>
        <w:t>cational Research</w:t>
      </w:r>
      <w:r w:rsidRPr="0052307E">
        <w:rPr>
          <w:color w:val="000000"/>
          <w:sz w:val="18"/>
          <w:szCs w:val="18"/>
          <w:lang w:val="en-GB" w:eastAsia="en-GB"/>
        </w:rPr>
        <w:t>, vol. 26, pp. 199-208, 2007.</w:t>
      </w:r>
    </w:p>
    <w:p w14:paraId="209AE479" w14:textId="77777777" w:rsidR="0052307E" w:rsidRPr="0052307E" w:rsidRDefault="0052307E" w:rsidP="0052307E">
      <w:pPr>
        <w:numPr>
          <w:ilvl w:val="0"/>
          <w:numId w:val="17"/>
        </w:numPr>
        <w:ind w:left="426" w:hanging="426"/>
        <w:contextualSpacing/>
        <w:jc w:val="both"/>
        <w:rPr>
          <w:color w:val="000000"/>
          <w:sz w:val="18"/>
          <w:szCs w:val="18"/>
          <w:lang w:val="en-GB" w:eastAsia="en-GB"/>
        </w:rPr>
      </w:pPr>
      <w:r w:rsidRPr="0052307E">
        <w:rPr>
          <w:color w:val="222222"/>
          <w:sz w:val="18"/>
          <w:szCs w:val="18"/>
          <w:shd w:val="clear" w:color="auto" w:fill="FFFFFF"/>
          <w:lang w:val="en-GB" w:eastAsia="en-GB"/>
        </w:rPr>
        <w:t xml:space="preserve">O. </w:t>
      </w:r>
      <w:proofErr w:type="spellStart"/>
      <w:r w:rsidRPr="0052307E">
        <w:rPr>
          <w:color w:val="222222"/>
          <w:sz w:val="18"/>
          <w:szCs w:val="18"/>
          <w:shd w:val="clear" w:color="auto" w:fill="FFFFFF"/>
          <w:lang w:val="en-GB" w:eastAsia="en-GB"/>
        </w:rPr>
        <w:t>Serin</w:t>
      </w:r>
      <w:proofErr w:type="spellEnd"/>
      <w:r w:rsidRPr="0052307E">
        <w:rPr>
          <w:color w:val="222222"/>
          <w:sz w:val="18"/>
          <w:szCs w:val="18"/>
          <w:shd w:val="clear" w:color="auto" w:fill="FFFFFF"/>
          <w:lang w:val="en-GB" w:eastAsia="en-GB"/>
        </w:rPr>
        <w:t xml:space="preserve">, N. B. </w:t>
      </w:r>
      <w:proofErr w:type="spellStart"/>
      <w:r w:rsidRPr="0052307E">
        <w:rPr>
          <w:color w:val="222222"/>
          <w:sz w:val="18"/>
          <w:szCs w:val="18"/>
          <w:shd w:val="clear" w:color="auto" w:fill="FFFFFF"/>
          <w:lang w:val="en-GB" w:eastAsia="en-GB"/>
        </w:rPr>
        <w:t>Serin</w:t>
      </w:r>
      <w:proofErr w:type="spellEnd"/>
      <w:r w:rsidRPr="0052307E">
        <w:rPr>
          <w:color w:val="222222"/>
          <w:sz w:val="18"/>
          <w:szCs w:val="18"/>
          <w:shd w:val="clear" w:color="auto" w:fill="FFFFFF"/>
          <w:lang w:val="en-GB" w:eastAsia="en-GB"/>
        </w:rPr>
        <w:t xml:space="preserve"> and G. </w:t>
      </w:r>
      <w:proofErr w:type="spellStart"/>
      <w:r w:rsidRPr="0052307E">
        <w:rPr>
          <w:color w:val="222222"/>
          <w:sz w:val="18"/>
          <w:szCs w:val="18"/>
          <w:shd w:val="clear" w:color="auto" w:fill="FFFFFF"/>
          <w:lang w:val="en-GB" w:eastAsia="en-GB"/>
        </w:rPr>
        <w:t>Saygılı</w:t>
      </w:r>
      <w:proofErr w:type="spellEnd"/>
      <w:r w:rsidRPr="0052307E">
        <w:rPr>
          <w:color w:val="222222"/>
          <w:sz w:val="18"/>
          <w:szCs w:val="18"/>
          <w:shd w:val="clear" w:color="auto" w:fill="FFFFFF"/>
          <w:lang w:val="en-GB" w:eastAsia="en-GB"/>
        </w:rPr>
        <w:t xml:space="preserve">, “The conflicts that exceptionally gifted students encounter and their opinions, observations and experiences regarding the solutions of these conflicts,” </w:t>
      </w:r>
      <w:r w:rsidRPr="0052307E">
        <w:rPr>
          <w:i/>
          <w:iCs/>
          <w:sz w:val="18"/>
          <w:szCs w:val="18"/>
          <w:shd w:val="clear" w:color="auto" w:fill="FFFFFF"/>
          <w:lang w:val="en-GB" w:eastAsia="en-GB"/>
        </w:rPr>
        <w:t>The Anthropologist</w:t>
      </w:r>
      <w:r w:rsidRPr="0052307E">
        <w:rPr>
          <w:color w:val="222222"/>
          <w:sz w:val="18"/>
          <w:szCs w:val="18"/>
          <w:shd w:val="clear" w:color="auto" w:fill="FFFFFF"/>
          <w:lang w:val="en-GB" w:eastAsia="en-GB"/>
        </w:rPr>
        <w:t xml:space="preserve">, vol. </w:t>
      </w:r>
      <w:r w:rsidRPr="0052307E">
        <w:rPr>
          <w:iCs/>
          <w:color w:val="222222"/>
          <w:sz w:val="18"/>
          <w:szCs w:val="18"/>
          <w:shd w:val="clear" w:color="auto" w:fill="FFFFFF"/>
          <w:lang w:val="en-GB" w:eastAsia="en-GB"/>
        </w:rPr>
        <w:t xml:space="preserve">23, no. </w:t>
      </w:r>
      <w:r w:rsidRPr="0052307E">
        <w:rPr>
          <w:color w:val="222222"/>
          <w:sz w:val="18"/>
          <w:szCs w:val="18"/>
          <w:shd w:val="clear" w:color="auto" w:fill="FFFFFF"/>
          <w:lang w:val="en-GB" w:eastAsia="en-GB"/>
        </w:rPr>
        <w:t>1-2, pp. 185-193, 2016.</w:t>
      </w:r>
    </w:p>
    <w:p w14:paraId="713BC634" w14:textId="77777777" w:rsidR="0052307E" w:rsidRPr="0052307E" w:rsidRDefault="0052307E" w:rsidP="0052307E">
      <w:pPr>
        <w:numPr>
          <w:ilvl w:val="0"/>
          <w:numId w:val="17"/>
        </w:numPr>
        <w:ind w:left="426" w:hanging="426"/>
        <w:contextualSpacing/>
        <w:jc w:val="both"/>
        <w:rPr>
          <w:color w:val="000000"/>
          <w:sz w:val="18"/>
          <w:szCs w:val="18"/>
          <w:lang w:eastAsia="en-GB"/>
        </w:rPr>
      </w:pPr>
      <w:r w:rsidRPr="0052307E">
        <w:rPr>
          <w:color w:val="222222"/>
          <w:sz w:val="18"/>
          <w:szCs w:val="18"/>
          <w:shd w:val="clear" w:color="auto" w:fill="FFFFFF"/>
          <w:lang w:val="en-GB" w:eastAsia="en-GB"/>
        </w:rPr>
        <w:t xml:space="preserve">J. Gledhill and J. Currie, “Characteristics of teachers’ recommended social support strategies for primary students with ASD,” </w:t>
      </w:r>
      <w:r w:rsidRPr="0052307E">
        <w:rPr>
          <w:i/>
          <w:iCs/>
          <w:color w:val="222222"/>
          <w:sz w:val="18"/>
          <w:szCs w:val="18"/>
          <w:shd w:val="clear" w:color="auto" w:fill="FFFFFF"/>
          <w:lang w:val="en-GB" w:eastAsia="en-GB"/>
        </w:rPr>
        <w:t>International Online Journal of Primary Education (IOJPE)</w:t>
      </w:r>
      <w:r w:rsidRPr="0052307E">
        <w:rPr>
          <w:color w:val="222222"/>
          <w:sz w:val="18"/>
          <w:szCs w:val="18"/>
          <w:shd w:val="clear" w:color="auto" w:fill="FFFFFF"/>
          <w:lang w:val="en-GB" w:eastAsia="en-GB"/>
        </w:rPr>
        <w:t xml:space="preserve">, vol. </w:t>
      </w:r>
      <w:r w:rsidRPr="0052307E">
        <w:rPr>
          <w:iCs/>
          <w:color w:val="222222"/>
          <w:sz w:val="18"/>
          <w:szCs w:val="18"/>
          <w:shd w:val="clear" w:color="auto" w:fill="FFFFFF"/>
          <w:lang w:val="en-GB" w:eastAsia="en-GB"/>
        </w:rPr>
        <w:t xml:space="preserve">9, no. </w:t>
      </w:r>
      <w:r w:rsidRPr="0052307E">
        <w:rPr>
          <w:color w:val="222222"/>
          <w:sz w:val="18"/>
          <w:szCs w:val="18"/>
          <w:shd w:val="clear" w:color="auto" w:fill="FFFFFF"/>
          <w:lang w:val="en-GB" w:eastAsia="en-GB"/>
        </w:rPr>
        <w:t>1, pp. 18-34, 2020.</w:t>
      </w:r>
    </w:p>
    <w:p w14:paraId="1D2FA756" w14:textId="77777777" w:rsidR="0052307E" w:rsidRPr="0052307E" w:rsidRDefault="0052307E" w:rsidP="0052307E">
      <w:pPr>
        <w:numPr>
          <w:ilvl w:val="0"/>
          <w:numId w:val="17"/>
        </w:numPr>
        <w:ind w:left="426" w:hanging="426"/>
        <w:contextualSpacing/>
        <w:jc w:val="both"/>
        <w:rPr>
          <w:color w:val="222222"/>
          <w:sz w:val="18"/>
          <w:szCs w:val="18"/>
          <w:shd w:val="clear" w:color="auto" w:fill="FFFFFF"/>
          <w:lang w:val="en-GB" w:eastAsia="en-GB"/>
        </w:rPr>
      </w:pPr>
      <w:r w:rsidRPr="0052307E">
        <w:rPr>
          <w:color w:val="222222"/>
          <w:sz w:val="18"/>
          <w:szCs w:val="18"/>
          <w:shd w:val="clear" w:color="auto" w:fill="FFFFFF"/>
          <w:lang w:val="en-GB" w:eastAsia="en-GB"/>
        </w:rPr>
        <w:t xml:space="preserve">G.  </w:t>
      </w:r>
      <w:proofErr w:type="spellStart"/>
      <w:r w:rsidRPr="0052307E">
        <w:rPr>
          <w:color w:val="222222"/>
          <w:sz w:val="18"/>
          <w:szCs w:val="18"/>
          <w:shd w:val="clear" w:color="auto" w:fill="FFFFFF"/>
          <w:lang w:val="en-GB" w:eastAsia="en-GB"/>
        </w:rPr>
        <w:t>Kahveci</w:t>
      </w:r>
      <w:proofErr w:type="spellEnd"/>
      <w:r w:rsidRPr="0052307E">
        <w:rPr>
          <w:color w:val="222222"/>
          <w:sz w:val="18"/>
          <w:szCs w:val="18"/>
          <w:shd w:val="clear" w:color="auto" w:fill="FFFFFF"/>
          <w:lang w:val="en-GB" w:eastAsia="en-GB"/>
        </w:rPr>
        <w:t xml:space="preserve">, “School </w:t>
      </w:r>
      <w:proofErr w:type="spellStart"/>
      <w:r w:rsidRPr="0052307E">
        <w:rPr>
          <w:color w:val="222222"/>
          <w:sz w:val="18"/>
          <w:szCs w:val="18"/>
          <w:shd w:val="clear" w:color="auto" w:fill="FFFFFF"/>
          <w:lang w:val="en-GB" w:eastAsia="en-GB"/>
        </w:rPr>
        <w:t>counseling</w:t>
      </w:r>
      <w:proofErr w:type="spellEnd"/>
      <w:r w:rsidRPr="0052307E">
        <w:rPr>
          <w:color w:val="222222"/>
          <w:sz w:val="18"/>
          <w:szCs w:val="18"/>
          <w:shd w:val="clear" w:color="auto" w:fill="FFFFFF"/>
          <w:lang w:val="en-GB" w:eastAsia="en-GB"/>
        </w:rPr>
        <w:t xml:space="preserve"> and students with disabilities,” </w:t>
      </w:r>
      <w:r w:rsidRPr="0052307E">
        <w:rPr>
          <w:i/>
          <w:iCs/>
          <w:color w:val="222222"/>
          <w:sz w:val="18"/>
          <w:szCs w:val="18"/>
          <w:shd w:val="clear" w:color="auto" w:fill="FFFFFF"/>
          <w:lang w:val="en-GB" w:eastAsia="en-GB"/>
        </w:rPr>
        <w:t>International Online Journal of Primary Education</w:t>
      </w:r>
      <w:r w:rsidRPr="0052307E">
        <w:rPr>
          <w:color w:val="222222"/>
          <w:sz w:val="18"/>
          <w:szCs w:val="18"/>
          <w:shd w:val="clear" w:color="auto" w:fill="FFFFFF"/>
          <w:lang w:val="en-GB" w:eastAsia="en-GB"/>
        </w:rPr>
        <w:t xml:space="preserve">, vol. </w:t>
      </w:r>
      <w:r w:rsidRPr="0052307E">
        <w:rPr>
          <w:iCs/>
          <w:color w:val="222222"/>
          <w:sz w:val="18"/>
          <w:szCs w:val="18"/>
          <w:shd w:val="clear" w:color="auto" w:fill="FFFFFF"/>
          <w:lang w:val="en-GB" w:eastAsia="en-GB"/>
        </w:rPr>
        <w:t xml:space="preserve">5, no. </w:t>
      </w:r>
      <w:r w:rsidRPr="0052307E">
        <w:rPr>
          <w:color w:val="222222"/>
          <w:sz w:val="18"/>
          <w:szCs w:val="18"/>
          <w:shd w:val="clear" w:color="auto" w:fill="FFFFFF"/>
          <w:lang w:val="en-GB" w:eastAsia="en-GB"/>
        </w:rPr>
        <w:t>2, pp. 15-2, 2016.</w:t>
      </w:r>
    </w:p>
    <w:p w14:paraId="48335E31" w14:textId="77777777" w:rsidR="0052307E" w:rsidRPr="0052307E" w:rsidRDefault="0052307E" w:rsidP="0052307E">
      <w:pPr>
        <w:numPr>
          <w:ilvl w:val="0"/>
          <w:numId w:val="17"/>
        </w:numPr>
        <w:ind w:left="426" w:hanging="426"/>
        <w:contextualSpacing/>
        <w:jc w:val="both"/>
        <w:rPr>
          <w:color w:val="000000"/>
          <w:sz w:val="18"/>
          <w:szCs w:val="18"/>
          <w:lang w:val="en-GB" w:eastAsia="en-GB"/>
        </w:rPr>
      </w:pPr>
      <w:r w:rsidRPr="0052307E">
        <w:rPr>
          <w:color w:val="000000"/>
          <w:sz w:val="18"/>
          <w:szCs w:val="18"/>
          <w:lang w:val="en-GB" w:eastAsia="en-GB"/>
        </w:rPr>
        <w:t xml:space="preserve">E. A. </w:t>
      </w:r>
      <w:proofErr w:type="spellStart"/>
      <w:r w:rsidRPr="0052307E">
        <w:rPr>
          <w:color w:val="000000"/>
          <w:sz w:val="18"/>
          <w:szCs w:val="18"/>
          <w:lang w:val="en-GB" w:eastAsia="en-GB"/>
        </w:rPr>
        <w:t>Nowicki</w:t>
      </w:r>
      <w:proofErr w:type="spellEnd"/>
      <w:r w:rsidRPr="0052307E">
        <w:rPr>
          <w:color w:val="000000"/>
          <w:sz w:val="18"/>
          <w:szCs w:val="18"/>
          <w:lang w:val="en-GB" w:eastAsia="en-GB"/>
        </w:rPr>
        <w:t xml:space="preserve">, “A Meta-analysis of the social competence of children with learning disabilities compared to classmates of low and average to high achievement,” </w:t>
      </w:r>
      <w:r w:rsidRPr="0052307E">
        <w:rPr>
          <w:i/>
          <w:iCs/>
          <w:color w:val="000000"/>
          <w:sz w:val="18"/>
          <w:szCs w:val="18"/>
          <w:lang w:val="en-GB" w:eastAsia="en-GB"/>
        </w:rPr>
        <w:t>Learning Disability Quarterly</w:t>
      </w:r>
      <w:r w:rsidRPr="0052307E">
        <w:rPr>
          <w:color w:val="000000"/>
          <w:sz w:val="18"/>
          <w:szCs w:val="18"/>
          <w:lang w:val="en-GB" w:eastAsia="en-GB"/>
        </w:rPr>
        <w:t xml:space="preserve">, vol. </w:t>
      </w:r>
      <w:r w:rsidRPr="0052307E">
        <w:rPr>
          <w:iCs/>
          <w:color w:val="000000"/>
          <w:sz w:val="18"/>
          <w:szCs w:val="18"/>
          <w:lang w:val="en-GB" w:eastAsia="en-GB"/>
        </w:rPr>
        <w:t xml:space="preserve">26, no. </w:t>
      </w:r>
      <w:r w:rsidRPr="0052307E">
        <w:rPr>
          <w:color w:val="000000"/>
          <w:sz w:val="18"/>
          <w:szCs w:val="18"/>
          <w:lang w:val="en-GB" w:eastAsia="en-GB"/>
        </w:rPr>
        <w:t xml:space="preserve">3, pp. 171-188, 2003. </w:t>
      </w:r>
      <w:proofErr w:type="spellStart"/>
      <w:r w:rsidRPr="0052307E">
        <w:rPr>
          <w:color w:val="000000"/>
          <w:sz w:val="18"/>
          <w:szCs w:val="18"/>
          <w:lang w:val="en-GB" w:eastAsia="en-GB"/>
        </w:rPr>
        <w:t>doi</w:t>
      </w:r>
      <w:proofErr w:type="spellEnd"/>
      <w:r w:rsidRPr="0052307E">
        <w:rPr>
          <w:color w:val="000000"/>
          <w:sz w:val="18"/>
          <w:szCs w:val="18"/>
          <w:lang w:val="en-GB" w:eastAsia="en-GB"/>
        </w:rPr>
        <w:t>:</w:t>
      </w:r>
      <w:hyperlink r:id="rId14" w:history="1">
        <w:r w:rsidRPr="0052307E">
          <w:rPr>
            <w:color w:val="006ACC"/>
            <w:sz w:val="18"/>
            <w:szCs w:val="18"/>
            <w:u w:val="single"/>
            <w:shd w:val="clear" w:color="auto" w:fill="FFFFFF"/>
            <w:lang w:bidi="th-TH"/>
          </w:rPr>
          <w:t>https://doi.org/10.2307/1593650</w:t>
        </w:r>
      </w:hyperlink>
    </w:p>
    <w:p w14:paraId="75B1505E" w14:textId="77777777" w:rsidR="0052307E" w:rsidRPr="0052307E" w:rsidRDefault="0052307E" w:rsidP="0052307E">
      <w:pPr>
        <w:numPr>
          <w:ilvl w:val="0"/>
          <w:numId w:val="17"/>
        </w:numPr>
        <w:ind w:left="426" w:hanging="426"/>
        <w:contextualSpacing/>
        <w:jc w:val="both"/>
        <w:rPr>
          <w:bCs/>
          <w:color w:val="000000"/>
          <w:sz w:val="18"/>
          <w:szCs w:val="18"/>
          <w:lang w:val="en-GB" w:eastAsia="en-GB"/>
        </w:rPr>
      </w:pPr>
      <w:r w:rsidRPr="0052307E">
        <w:rPr>
          <w:color w:val="000000"/>
          <w:sz w:val="18"/>
          <w:szCs w:val="18"/>
          <w:lang w:val="en-GB" w:eastAsia="en-GB"/>
        </w:rPr>
        <w:t>B</w:t>
      </w:r>
      <w:r w:rsidRPr="0052307E">
        <w:rPr>
          <w:bCs/>
          <w:color w:val="000000"/>
          <w:sz w:val="18"/>
          <w:szCs w:val="18"/>
          <w:lang w:val="en-GB" w:eastAsia="en-GB"/>
        </w:rPr>
        <w:t xml:space="preserve">. </w:t>
      </w:r>
      <w:proofErr w:type="spellStart"/>
      <w:r w:rsidRPr="0052307E">
        <w:rPr>
          <w:color w:val="000000"/>
          <w:sz w:val="18"/>
          <w:szCs w:val="18"/>
          <w:lang w:val="en-GB" w:eastAsia="en-GB"/>
        </w:rPr>
        <w:t>Cagran</w:t>
      </w:r>
      <w:proofErr w:type="spellEnd"/>
      <w:r w:rsidRPr="0052307E">
        <w:rPr>
          <w:color w:val="000000"/>
          <w:sz w:val="18"/>
          <w:szCs w:val="18"/>
          <w:lang w:val="en-GB" w:eastAsia="en-GB"/>
        </w:rPr>
        <w:t xml:space="preserve"> and M. Schmidt, “Attitudes of Slovene teachers towards the inclusion of pupils with different types of special needs in primary school,” </w:t>
      </w:r>
      <w:r w:rsidRPr="0052307E">
        <w:rPr>
          <w:i/>
          <w:color w:val="000000"/>
          <w:sz w:val="18"/>
          <w:szCs w:val="18"/>
          <w:lang w:val="en-GB" w:eastAsia="en-GB"/>
        </w:rPr>
        <w:t>Educational Studies</w:t>
      </w:r>
      <w:r w:rsidRPr="0052307E">
        <w:rPr>
          <w:color w:val="000000"/>
          <w:sz w:val="18"/>
          <w:szCs w:val="18"/>
          <w:lang w:val="en-GB" w:eastAsia="en-GB"/>
        </w:rPr>
        <w:t xml:space="preserve">, vol. 37, no. 2, pp. 171-195, 2011. </w:t>
      </w:r>
      <w:proofErr w:type="spellStart"/>
      <w:r w:rsidRPr="0052307E">
        <w:rPr>
          <w:color w:val="000000"/>
          <w:sz w:val="18"/>
          <w:szCs w:val="18"/>
          <w:lang w:val="en-GB" w:eastAsia="en-GB"/>
        </w:rPr>
        <w:t>doi</w:t>
      </w:r>
      <w:proofErr w:type="spellEnd"/>
      <w:r w:rsidRPr="0052307E">
        <w:rPr>
          <w:color w:val="000000"/>
          <w:sz w:val="18"/>
          <w:szCs w:val="18"/>
          <w:lang w:val="en-GB" w:eastAsia="en-GB"/>
        </w:rPr>
        <w:t>:</w:t>
      </w:r>
      <w:r w:rsidRPr="0052307E">
        <w:rPr>
          <w:color w:val="333333"/>
          <w:sz w:val="18"/>
          <w:szCs w:val="18"/>
          <w:lang w:bidi="th-TH"/>
        </w:rPr>
        <w:t xml:space="preserve"> </w:t>
      </w:r>
      <w:hyperlink r:id="rId15" w:history="1">
        <w:r w:rsidRPr="0052307E">
          <w:rPr>
            <w:color w:val="006DB4"/>
            <w:sz w:val="18"/>
            <w:szCs w:val="18"/>
            <w:u w:val="single"/>
            <w:lang w:bidi="th-TH"/>
          </w:rPr>
          <w:t>https://doi.org/10.1080/03055698.2010.506319</w:t>
        </w:r>
      </w:hyperlink>
    </w:p>
    <w:p w14:paraId="2E652CCC" w14:textId="77777777" w:rsidR="0052307E" w:rsidRPr="0052307E" w:rsidRDefault="0052307E" w:rsidP="0052307E">
      <w:pPr>
        <w:numPr>
          <w:ilvl w:val="0"/>
          <w:numId w:val="17"/>
        </w:numPr>
        <w:ind w:left="426" w:hanging="426"/>
        <w:contextualSpacing/>
        <w:jc w:val="both"/>
        <w:rPr>
          <w:color w:val="000000"/>
          <w:sz w:val="18"/>
          <w:szCs w:val="18"/>
          <w:lang w:val="en-GB" w:eastAsia="en-GB"/>
        </w:rPr>
      </w:pPr>
      <w:r w:rsidRPr="0052307E">
        <w:rPr>
          <w:color w:val="000000"/>
          <w:sz w:val="18"/>
          <w:szCs w:val="18"/>
          <w:lang w:val="en-GB" w:eastAsia="en-GB"/>
        </w:rPr>
        <w:t xml:space="preserve">İ. </w:t>
      </w:r>
      <w:proofErr w:type="spellStart"/>
      <w:r w:rsidRPr="0052307E">
        <w:rPr>
          <w:color w:val="000000"/>
          <w:sz w:val="18"/>
          <w:szCs w:val="18"/>
          <w:lang w:val="en-GB" w:eastAsia="en-GB"/>
        </w:rPr>
        <w:t>Çifci</w:t>
      </w:r>
      <w:proofErr w:type="spellEnd"/>
      <w:r w:rsidRPr="0052307E">
        <w:rPr>
          <w:color w:val="000000"/>
          <w:sz w:val="18"/>
          <w:szCs w:val="18"/>
          <w:lang w:val="en-GB" w:eastAsia="en-GB"/>
        </w:rPr>
        <w:t xml:space="preserve"> and B. </w:t>
      </w:r>
      <w:proofErr w:type="spellStart"/>
      <w:r w:rsidRPr="0052307E">
        <w:rPr>
          <w:color w:val="000000"/>
          <w:sz w:val="18"/>
          <w:szCs w:val="18"/>
          <w:lang w:val="en-GB" w:eastAsia="en-GB"/>
        </w:rPr>
        <w:t>Sucuoğlu</w:t>
      </w:r>
      <w:proofErr w:type="spellEnd"/>
      <w:r w:rsidRPr="0052307E">
        <w:rPr>
          <w:color w:val="000000"/>
          <w:sz w:val="18"/>
          <w:szCs w:val="18"/>
          <w:lang w:val="en-GB" w:eastAsia="en-GB"/>
        </w:rPr>
        <w:t xml:space="preserve"> “</w:t>
      </w:r>
      <w:proofErr w:type="spellStart"/>
      <w:r w:rsidRPr="0052307E">
        <w:rPr>
          <w:i/>
          <w:iCs/>
          <w:color w:val="000000"/>
          <w:sz w:val="18"/>
          <w:szCs w:val="18"/>
          <w:lang w:val="en-GB" w:eastAsia="en-GB"/>
        </w:rPr>
        <w:t>Bilişsel</w:t>
      </w:r>
      <w:proofErr w:type="spellEnd"/>
      <w:r w:rsidRPr="0052307E">
        <w:rPr>
          <w:i/>
          <w:iCs/>
          <w:color w:val="000000"/>
          <w:sz w:val="18"/>
          <w:szCs w:val="18"/>
          <w:lang w:val="en-GB" w:eastAsia="en-GB"/>
        </w:rPr>
        <w:t xml:space="preserve"> </w:t>
      </w:r>
      <w:proofErr w:type="spellStart"/>
      <w:r w:rsidRPr="0052307E">
        <w:rPr>
          <w:i/>
          <w:iCs/>
          <w:color w:val="000000"/>
          <w:sz w:val="18"/>
          <w:szCs w:val="18"/>
          <w:lang w:val="en-GB" w:eastAsia="en-GB"/>
        </w:rPr>
        <w:t>süreç</w:t>
      </w:r>
      <w:proofErr w:type="spellEnd"/>
      <w:r w:rsidRPr="0052307E">
        <w:rPr>
          <w:i/>
          <w:iCs/>
          <w:color w:val="000000"/>
          <w:sz w:val="18"/>
          <w:szCs w:val="18"/>
          <w:lang w:val="en-GB" w:eastAsia="en-GB"/>
        </w:rPr>
        <w:t xml:space="preserve"> </w:t>
      </w:r>
      <w:proofErr w:type="spellStart"/>
      <w:r w:rsidRPr="0052307E">
        <w:rPr>
          <w:i/>
          <w:iCs/>
          <w:color w:val="000000"/>
          <w:sz w:val="18"/>
          <w:szCs w:val="18"/>
          <w:lang w:val="en-GB" w:eastAsia="en-GB"/>
        </w:rPr>
        <w:t>yaklaşımıyla</w:t>
      </w:r>
      <w:proofErr w:type="spellEnd"/>
      <w:r w:rsidRPr="0052307E">
        <w:rPr>
          <w:i/>
          <w:iCs/>
          <w:color w:val="000000"/>
          <w:sz w:val="18"/>
          <w:szCs w:val="18"/>
          <w:lang w:val="en-GB" w:eastAsia="en-GB"/>
        </w:rPr>
        <w:t xml:space="preserve"> </w:t>
      </w:r>
      <w:proofErr w:type="spellStart"/>
      <w:r w:rsidRPr="0052307E">
        <w:rPr>
          <w:i/>
          <w:iCs/>
          <w:color w:val="000000"/>
          <w:sz w:val="18"/>
          <w:szCs w:val="18"/>
          <w:lang w:val="en-GB" w:eastAsia="en-GB"/>
        </w:rPr>
        <w:t>sosyal</w:t>
      </w:r>
      <w:proofErr w:type="spellEnd"/>
      <w:r w:rsidRPr="0052307E">
        <w:rPr>
          <w:i/>
          <w:iCs/>
          <w:color w:val="000000"/>
          <w:sz w:val="18"/>
          <w:szCs w:val="18"/>
          <w:lang w:val="en-GB" w:eastAsia="en-GB"/>
        </w:rPr>
        <w:t xml:space="preserve"> </w:t>
      </w:r>
      <w:proofErr w:type="spellStart"/>
      <w:r w:rsidRPr="0052307E">
        <w:rPr>
          <w:i/>
          <w:iCs/>
          <w:color w:val="000000"/>
          <w:sz w:val="18"/>
          <w:szCs w:val="18"/>
          <w:lang w:val="en-GB" w:eastAsia="en-GB"/>
        </w:rPr>
        <w:t>beceri</w:t>
      </w:r>
      <w:proofErr w:type="spellEnd"/>
      <w:r w:rsidRPr="0052307E">
        <w:rPr>
          <w:i/>
          <w:iCs/>
          <w:color w:val="000000"/>
          <w:sz w:val="18"/>
          <w:szCs w:val="18"/>
          <w:lang w:val="en-GB" w:eastAsia="en-GB"/>
        </w:rPr>
        <w:t xml:space="preserve"> </w:t>
      </w:r>
      <w:proofErr w:type="spellStart"/>
      <w:r w:rsidRPr="0052307E">
        <w:rPr>
          <w:i/>
          <w:iCs/>
          <w:color w:val="000000"/>
          <w:sz w:val="18"/>
          <w:szCs w:val="18"/>
          <w:lang w:val="en-GB" w:eastAsia="en-GB"/>
        </w:rPr>
        <w:t>öğretimi</w:t>
      </w:r>
      <w:proofErr w:type="spellEnd"/>
      <w:r w:rsidRPr="0052307E">
        <w:rPr>
          <w:i/>
          <w:iCs/>
          <w:color w:val="000000"/>
          <w:sz w:val="18"/>
          <w:szCs w:val="18"/>
          <w:lang w:val="en-GB" w:eastAsia="en-GB"/>
        </w:rPr>
        <w:t xml:space="preserve">,” </w:t>
      </w:r>
      <w:r w:rsidRPr="0052307E">
        <w:rPr>
          <w:color w:val="000000"/>
          <w:sz w:val="18"/>
          <w:szCs w:val="18"/>
          <w:lang w:val="en-GB" w:eastAsia="en-GB"/>
        </w:rPr>
        <w:t xml:space="preserve">Ankara: </w:t>
      </w:r>
      <w:proofErr w:type="spellStart"/>
      <w:r w:rsidRPr="0052307E">
        <w:rPr>
          <w:color w:val="000000"/>
          <w:sz w:val="18"/>
          <w:szCs w:val="18"/>
          <w:lang w:val="en-GB" w:eastAsia="en-GB"/>
        </w:rPr>
        <w:t>Kök</w:t>
      </w:r>
      <w:proofErr w:type="spellEnd"/>
      <w:r w:rsidRPr="0052307E">
        <w:rPr>
          <w:color w:val="000000"/>
          <w:sz w:val="18"/>
          <w:szCs w:val="18"/>
          <w:lang w:val="en-GB" w:eastAsia="en-GB"/>
        </w:rPr>
        <w:t xml:space="preserve"> Publishing, 2012.</w:t>
      </w:r>
    </w:p>
    <w:p w14:paraId="7A745151" w14:textId="77777777" w:rsidR="0052307E" w:rsidRPr="0052307E" w:rsidRDefault="0052307E" w:rsidP="0052307E">
      <w:pPr>
        <w:numPr>
          <w:ilvl w:val="0"/>
          <w:numId w:val="17"/>
        </w:numPr>
        <w:ind w:left="426" w:hanging="426"/>
        <w:contextualSpacing/>
        <w:jc w:val="both"/>
        <w:rPr>
          <w:color w:val="000000"/>
          <w:sz w:val="18"/>
          <w:szCs w:val="18"/>
          <w:lang w:val="en-GB" w:eastAsia="en-GB"/>
        </w:rPr>
      </w:pPr>
      <w:r w:rsidRPr="0052307E">
        <w:rPr>
          <w:bCs/>
          <w:color w:val="000000"/>
          <w:sz w:val="18"/>
          <w:szCs w:val="18"/>
          <w:lang w:val="en-GB" w:eastAsia="en-GB"/>
        </w:rPr>
        <w:t xml:space="preserve">A. Boer, J. </w:t>
      </w:r>
      <w:proofErr w:type="spellStart"/>
      <w:r w:rsidRPr="0052307E">
        <w:rPr>
          <w:bCs/>
          <w:color w:val="000000"/>
          <w:sz w:val="18"/>
          <w:szCs w:val="18"/>
          <w:lang w:val="en-GB" w:eastAsia="en-GB"/>
        </w:rPr>
        <w:t>Pijl</w:t>
      </w:r>
      <w:proofErr w:type="spellEnd"/>
      <w:r w:rsidRPr="0052307E">
        <w:rPr>
          <w:bCs/>
          <w:color w:val="000000"/>
          <w:sz w:val="18"/>
          <w:szCs w:val="18"/>
          <w:lang w:val="en-GB" w:eastAsia="en-GB"/>
        </w:rPr>
        <w:t xml:space="preserve"> and A. </w:t>
      </w:r>
      <w:proofErr w:type="spellStart"/>
      <w:r w:rsidRPr="0052307E">
        <w:rPr>
          <w:bCs/>
          <w:color w:val="000000"/>
          <w:sz w:val="18"/>
          <w:szCs w:val="18"/>
          <w:lang w:val="en-GB" w:eastAsia="en-GB"/>
        </w:rPr>
        <w:t>Minnaert</w:t>
      </w:r>
      <w:proofErr w:type="spellEnd"/>
      <w:r w:rsidRPr="0052307E">
        <w:rPr>
          <w:bCs/>
          <w:color w:val="000000"/>
          <w:sz w:val="18"/>
          <w:szCs w:val="18"/>
          <w:lang w:val="en-GB" w:eastAsia="en-GB"/>
        </w:rPr>
        <w:t xml:space="preserve">, “Students’ attitudes towards peers with disabilities: a review of the literature,” </w:t>
      </w:r>
      <w:r w:rsidRPr="0052307E">
        <w:rPr>
          <w:bCs/>
          <w:i/>
          <w:color w:val="000000"/>
          <w:sz w:val="18"/>
          <w:szCs w:val="18"/>
          <w:lang w:val="en-GB" w:eastAsia="en-GB"/>
        </w:rPr>
        <w:t xml:space="preserve">International Journal of </w:t>
      </w:r>
      <w:proofErr w:type="spellStart"/>
      <w:r w:rsidRPr="0052307E">
        <w:rPr>
          <w:bCs/>
          <w:i/>
          <w:color w:val="000000"/>
          <w:sz w:val="18"/>
          <w:szCs w:val="18"/>
          <w:lang w:val="en-GB" w:eastAsia="en-GB"/>
        </w:rPr>
        <w:t>Disabilitiy</w:t>
      </w:r>
      <w:proofErr w:type="spellEnd"/>
      <w:r w:rsidRPr="0052307E">
        <w:rPr>
          <w:bCs/>
          <w:i/>
          <w:color w:val="000000"/>
          <w:sz w:val="18"/>
          <w:szCs w:val="18"/>
          <w:lang w:val="en-GB" w:eastAsia="en-GB"/>
        </w:rPr>
        <w:t>, Development and Education,</w:t>
      </w:r>
      <w:r w:rsidRPr="0052307E">
        <w:rPr>
          <w:bCs/>
          <w:color w:val="000000"/>
          <w:sz w:val="18"/>
          <w:szCs w:val="18"/>
          <w:lang w:val="en-GB" w:eastAsia="en-GB"/>
        </w:rPr>
        <w:t xml:space="preserve"> vol. 59, no. 4, pp. 379-392, 2012. </w:t>
      </w:r>
      <w:proofErr w:type="spellStart"/>
      <w:r w:rsidRPr="0052307E">
        <w:rPr>
          <w:bCs/>
          <w:color w:val="000000"/>
          <w:sz w:val="18"/>
          <w:szCs w:val="18"/>
          <w:lang w:val="en-GB" w:eastAsia="en-GB"/>
        </w:rPr>
        <w:t>doi</w:t>
      </w:r>
      <w:proofErr w:type="spellEnd"/>
      <w:r w:rsidRPr="0052307E">
        <w:rPr>
          <w:bCs/>
          <w:color w:val="000000"/>
          <w:sz w:val="18"/>
          <w:szCs w:val="18"/>
          <w:lang w:val="en-GB" w:eastAsia="en-GB"/>
        </w:rPr>
        <w:t>:</w:t>
      </w:r>
      <w:hyperlink r:id="rId16" w:history="1">
        <w:r w:rsidRPr="0052307E">
          <w:rPr>
            <w:color w:val="006DB4"/>
            <w:sz w:val="18"/>
            <w:szCs w:val="18"/>
            <w:u w:val="single"/>
            <w:lang w:bidi="th-TH"/>
          </w:rPr>
          <w:t>https://doi.org/10.1080/1034912X.2012.723944</w:t>
        </w:r>
      </w:hyperlink>
    </w:p>
    <w:p w14:paraId="5B608E01" w14:textId="77777777" w:rsidR="0052307E" w:rsidRPr="0052307E" w:rsidRDefault="0052307E" w:rsidP="0052307E">
      <w:pPr>
        <w:numPr>
          <w:ilvl w:val="0"/>
          <w:numId w:val="17"/>
        </w:numPr>
        <w:ind w:left="426" w:hanging="426"/>
        <w:contextualSpacing/>
        <w:jc w:val="both"/>
        <w:rPr>
          <w:color w:val="000000"/>
          <w:sz w:val="18"/>
          <w:szCs w:val="18"/>
          <w:lang w:val="en-GB" w:eastAsia="en-GB"/>
        </w:rPr>
      </w:pPr>
      <w:r w:rsidRPr="0052307E">
        <w:rPr>
          <w:color w:val="000000"/>
          <w:sz w:val="18"/>
          <w:szCs w:val="18"/>
          <w:lang w:val="en-GB" w:eastAsia="en-GB"/>
        </w:rPr>
        <w:t xml:space="preserve">S. </w:t>
      </w:r>
      <w:proofErr w:type="spellStart"/>
      <w:r w:rsidRPr="0052307E">
        <w:rPr>
          <w:color w:val="000000"/>
          <w:sz w:val="18"/>
          <w:szCs w:val="18"/>
          <w:lang w:val="en-GB" w:eastAsia="en-GB"/>
        </w:rPr>
        <w:t>Verte</w:t>
      </w:r>
      <w:proofErr w:type="spellEnd"/>
      <w:r w:rsidRPr="0052307E">
        <w:rPr>
          <w:color w:val="000000"/>
          <w:sz w:val="18"/>
          <w:szCs w:val="18"/>
          <w:lang w:val="en-GB" w:eastAsia="en-GB"/>
        </w:rPr>
        <w:t xml:space="preserve">, H. </w:t>
      </w:r>
      <w:proofErr w:type="spellStart"/>
      <w:r w:rsidRPr="0052307E">
        <w:rPr>
          <w:color w:val="000000"/>
          <w:sz w:val="18"/>
          <w:szCs w:val="18"/>
          <w:lang w:val="en-GB" w:eastAsia="en-GB"/>
        </w:rPr>
        <w:t>Roeyers</w:t>
      </w:r>
      <w:proofErr w:type="spellEnd"/>
      <w:r w:rsidRPr="0052307E">
        <w:rPr>
          <w:color w:val="000000"/>
          <w:sz w:val="18"/>
          <w:szCs w:val="18"/>
          <w:lang w:val="en-GB" w:eastAsia="en-GB"/>
        </w:rPr>
        <w:t xml:space="preserve"> and A. </w:t>
      </w:r>
      <w:proofErr w:type="spellStart"/>
      <w:r w:rsidRPr="0052307E">
        <w:rPr>
          <w:color w:val="000000"/>
          <w:sz w:val="18"/>
          <w:szCs w:val="18"/>
          <w:lang w:val="en-GB" w:eastAsia="en-GB"/>
        </w:rPr>
        <w:t>Buysse</w:t>
      </w:r>
      <w:proofErr w:type="spellEnd"/>
      <w:r w:rsidRPr="0052307E">
        <w:rPr>
          <w:color w:val="000000"/>
          <w:sz w:val="18"/>
          <w:szCs w:val="18"/>
          <w:lang w:val="en-GB" w:eastAsia="en-GB"/>
        </w:rPr>
        <w:t xml:space="preserve">, “Behavioural problems, social competence and </w:t>
      </w:r>
      <w:proofErr w:type="spellStart"/>
      <w:r w:rsidRPr="0052307E">
        <w:rPr>
          <w:color w:val="000000"/>
          <w:sz w:val="18"/>
          <w:szCs w:val="18"/>
          <w:lang w:val="en-GB" w:eastAsia="en-GB"/>
        </w:rPr>
        <w:t>selfconcept</w:t>
      </w:r>
      <w:proofErr w:type="spellEnd"/>
      <w:r w:rsidRPr="0052307E">
        <w:rPr>
          <w:color w:val="000000"/>
          <w:sz w:val="18"/>
          <w:szCs w:val="18"/>
          <w:lang w:val="en-GB" w:eastAsia="en-GB"/>
        </w:rPr>
        <w:t xml:space="preserve"> in siblings of children with autism,” </w:t>
      </w:r>
      <w:r w:rsidRPr="0052307E">
        <w:rPr>
          <w:i/>
          <w:color w:val="000000"/>
          <w:sz w:val="18"/>
          <w:szCs w:val="18"/>
          <w:lang w:val="en-GB" w:eastAsia="en-GB"/>
        </w:rPr>
        <w:t xml:space="preserve">Child Care Health Dev, </w:t>
      </w:r>
      <w:r w:rsidRPr="0052307E">
        <w:rPr>
          <w:color w:val="000000"/>
          <w:sz w:val="18"/>
          <w:szCs w:val="18"/>
          <w:lang w:val="en-GB" w:eastAsia="en-GB"/>
        </w:rPr>
        <w:t xml:space="preserve">vol. 29, no. 3, pp. 193-205, 2003. </w:t>
      </w:r>
    </w:p>
    <w:p w14:paraId="2234A6B0" w14:textId="77777777" w:rsidR="0052307E" w:rsidRPr="0052307E" w:rsidRDefault="0052307E" w:rsidP="0052307E">
      <w:pPr>
        <w:numPr>
          <w:ilvl w:val="0"/>
          <w:numId w:val="17"/>
        </w:numPr>
        <w:tabs>
          <w:tab w:val="left" w:pos="426"/>
        </w:tabs>
        <w:ind w:left="426" w:hanging="426"/>
        <w:jc w:val="both"/>
        <w:rPr>
          <w:noProof/>
          <w:sz w:val="18"/>
          <w:szCs w:val="18"/>
        </w:rPr>
      </w:pPr>
      <w:r w:rsidRPr="0052307E">
        <w:rPr>
          <w:color w:val="000000"/>
          <w:sz w:val="18"/>
          <w:szCs w:val="18"/>
          <w:lang w:eastAsia="en-GB"/>
        </w:rPr>
        <w:t xml:space="preserve">A. Garrote, “The Relationship between social participation and social skills of pupils with an intellectual disability: A study in inclusive classrooms,” </w:t>
      </w:r>
      <w:r w:rsidRPr="0052307E">
        <w:rPr>
          <w:i/>
          <w:iCs/>
          <w:color w:val="000000"/>
          <w:sz w:val="18"/>
          <w:szCs w:val="18"/>
          <w:lang w:eastAsia="en-GB"/>
        </w:rPr>
        <w:t xml:space="preserve">Frontline Learning Research, </w:t>
      </w:r>
      <w:r w:rsidRPr="0052307E">
        <w:rPr>
          <w:iCs/>
          <w:color w:val="000000"/>
          <w:sz w:val="18"/>
          <w:szCs w:val="18"/>
          <w:lang w:eastAsia="en-GB"/>
        </w:rPr>
        <w:t xml:space="preserve">vol. 5, no. </w:t>
      </w:r>
      <w:r w:rsidRPr="0052307E">
        <w:rPr>
          <w:color w:val="000000"/>
          <w:sz w:val="18"/>
          <w:szCs w:val="18"/>
          <w:lang w:eastAsia="en-GB"/>
        </w:rPr>
        <w:t xml:space="preserve">1, pp. 1-15, 2017. </w:t>
      </w:r>
      <w:proofErr w:type="spellStart"/>
      <w:r w:rsidRPr="0052307E">
        <w:rPr>
          <w:color w:val="000000"/>
          <w:sz w:val="18"/>
          <w:szCs w:val="18"/>
          <w:lang w:eastAsia="en-GB"/>
        </w:rPr>
        <w:t>doi</w:t>
      </w:r>
      <w:proofErr w:type="spellEnd"/>
      <w:r w:rsidRPr="0052307E">
        <w:rPr>
          <w:color w:val="000000"/>
          <w:sz w:val="18"/>
          <w:szCs w:val="18"/>
          <w:lang w:eastAsia="en-GB"/>
        </w:rPr>
        <w:t>:</w:t>
      </w:r>
      <w:r w:rsidRPr="0052307E">
        <w:rPr>
          <w:sz w:val="18"/>
          <w:szCs w:val="18"/>
          <w:lang w:bidi="th-TH"/>
        </w:rPr>
        <w:t xml:space="preserve"> </w:t>
      </w:r>
      <w:hyperlink r:id="rId17" w:history="1">
        <w:r w:rsidRPr="0052307E">
          <w:rPr>
            <w:color w:val="0563C1"/>
            <w:sz w:val="18"/>
            <w:szCs w:val="18"/>
            <w:u w:val="single"/>
            <w:lang w:bidi="th-TH"/>
          </w:rPr>
          <w:t>https://doi.org/10.14786/flr.v5i1.266</w:t>
        </w:r>
      </w:hyperlink>
    </w:p>
    <w:p w14:paraId="58EB7E1C" w14:textId="77777777" w:rsidR="0052307E" w:rsidRPr="0052307E" w:rsidRDefault="0052307E" w:rsidP="0052307E">
      <w:pPr>
        <w:numPr>
          <w:ilvl w:val="0"/>
          <w:numId w:val="17"/>
        </w:numPr>
        <w:ind w:left="426" w:hanging="426"/>
        <w:contextualSpacing/>
        <w:jc w:val="both"/>
        <w:rPr>
          <w:color w:val="000000"/>
          <w:sz w:val="18"/>
          <w:szCs w:val="18"/>
          <w:lang w:val="en-GB" w:eastAsia="en-GB"/>
        </w:rPr>
      </w:pPr>
      <w:r w:rsidRPr="0052307E">
        <w:rPr>
          <w:color w:val="000000"/>
          <w:sz w:val="18"/>
          <w:szCs w:val="18"/>
          <w:lang w:val="en-GB" w:eastAsia="en-GB"/>
        </w:rPr>
        <w:lastRenderedPageBreak/>
        <w:t>B</w:t>
      </w:r>
      <w:r w:rsidRPr="0052307E">
        <w:rPr>
          <w:bCs/>
          <w:color w:val="000000"/>
          <w:sz w:val="18"/>
          <w:szCs w:val="18"/>
          <w:lang w:val="en-GB" w:eastAsia="en-GB"/>
        </w:rPr>
        <w:t xml:space="preserve">. </w:t>
      </w:r>
      <w:proofErr w:type="spellStart"/>
      <w:r w:rsidRPr="0052307E">
        <w:rPr>
          <w:color w:val="000000"/>
          <w:sz w:val="18"/>
          <w:szCs w:val="18"/>
          <w:lang w:val="en-GB" w:eastAsia="en-GB"/>
        </w:rPr>
        <w:t>Sucuoğlu</w:t>
      </w:r>
      <w:proofErr w:type="spellEnd"/>
      <w:r w:rsidRPr="0052307E">
        <w:rPr>
          <w:color w:val="000000"/>
          <w:sz w:val="18"/>
          <w:szCs w:val="18"/>
          <w:lang w:val="en-GB" w:eastAsia="en-GB"/>
        </w:rPr>
        <w:t xml:space="preserve"> and T. </w:t>
      </w:r>
      <w:proofErr w:type="spellStart"/>
      <w:r w:rsidRPr="0052307E">
        <w:rPr>
          <w:color w:val="000000"/>
          <w:sz w:val="18"/>
          <w:szCs w:val="18"/>
          <w:lang w:val="en-GB" w:eastAsia="en-GB"/>
        </w:rPr>
        <w:t>Kargın</w:t>
      </w:r>
      <w:proofErr w:type="spellEnd"/>
      <w:r w:rsidRPr="0052307E">
        <w:rPr>
          <w:color w:val="000000"/>
          <w:sz w:val="18"/>
          <w:szCs w:val="18"/>
          <w:lang w:val="en-GB" w:eastAsia="en-GB"/>
        </w:rPr>
        <w:t>, “</w:t>
      </w:r>
      <w:proofErr w:type="spellStart"/>
      <w:r w:rsidRPr="0052307E">
        <w:rPr>
          <w:i/>
          <w:color w:val="000000"/>
          <w:sz w:val="18"/>
          <w:szCs w:val="18"/>
          <w:lang w:val="en-GB" w:eastAsia="en-GB"/>
        </w:rPr>
        <w:t>İlköğretimde</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kaynaştırma</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uygulamaları</w:t>
      </w:r>
      <w:proofErr w:type="spellEnd"/>
      <w:r w:rsidRPr="0052307E">
        <w:rPr>
          <w:i/>
          <w:color w:val="000000"/>
          <w:sz w:val="18"/>
          <w:szCs w:val="18"/>
          <w:lang w:val="en-GB" w:eastAsia="en-GB"/>
        </w:rPr>
        <w:t xml:space="preserve">,” </w:t>
      </w:r>
      <w:r w:rsidRPr="0052307E">
        <w:rPr>
          <w:color w:val="000000"/>
          <w:sz w:val="18"/>
          <w:szCs w:val="18"/>
          <w:lang w:val="en-GB" w:eastAsia="en-GB"/>
        </w:rPr>
        <w:t xml:space="preserve">Ankara: </w:t>
      </w:r>
      <w:proofErr w:type="spellStart"/>
      <w:r w:rsidRPr="0052307E">
        <w:rPr>
          <w:color w:val="000000"/>
          <w:sz w:val="18"/>
          <w:szCs w:val="18"/>
          <w:lang w:val="en-GB" w:eastAsia="en-GB"/>
        </w:rPr>
        <w:t>Kök</w:t>
      </w:r>
      <w:proofErr w:type="spellEnd"/>
      <w:r w:rsidRPr="0052307E">
        <w:rPr>
          <w:color w:val="000000"/>
          <w:sz w:val="18"/>
          <w:szCs w:val="18"/>
          <w:lang w:val="en-GB" w:eastAsia="en-GB"/>
        </w:rPr>
        <w:t xml:space="preserve"> Publishing, 2014.</w:t>
      </w:r>
    </w:p>
    <w:p w14:paraId="5D51DFA5" w14:textId="77777777" w:rsidR="0052307E" w:rsidRPr="0052307E" w:rsidRDefault="0052307E" w:rsidP="0052307E">
      <w:pPr>
        <w:numPr>
          <w:ilvl w:val="0"/>
          <w:numId w:val="17"/>
        </w:numPr>
        <w:ind w:left="426" w:hanging="426"/>
        <w:contextualSpacing/>
        <w:jc w:val="both"/>
        <w:rPr>
          <w:color w:val="000000"/>
          <w:sz w:val="18"/>
          <w:szCs w:val="18"/>
          <w:lang w:val="en-GB" w:eastAsia="en-GB"/>
        </w:rPr>
      </w:pPr>
      <w:r w:rsidRPr="0052307E">
        <w:rPr>
          <w:color w:val="000000"/>
          <w:sz w:val="18"/>
          <w:szCs w:val="18"/>
          <w:lang w:val="en-GB" w:eastAsia="en-GB"/>
        </w:rPr>
        <w:t xml:space="preserve">S. </w:t>
      </w:r>
      <w:proofErr w:type="spellStart"/>
      <w:r w:rsidRPr="0052307E">
        <w:rPr>
          <w:color w:val="000000"/>
          <w:sz w:val="18"/>
          <w:szCs w:val="18"/>
          <w:lang w:val="en-GB" w:eastAsia="en-GB"/>
        </w:rPr>
        <w:t>Sidekli</w:t>
      </w:r>
      <w:proofErr w:type="spellEnd"/>
      <w:r w:rsidRPr="0052307E">
        <w:rPr>
          <w:color w:val="000000"/>
          <w:sz w:val="18"/>
          <w:szCs w:val="18"/>
          <w:lang w:val="en-GB" w:eastAsia="en-GB"/>
        </w:rPr>
        <w:t>, “</w:t>
      </w:r>
      <w:proofErr w:type="spellStart"/>
      <w:r w:rsidRPr="0052307E">
        <w:rPr>
          <w:i/>
          <w:color w:val="000000"/>
          <w:sz w:val="18"/>
          <w:szCs w:val="18"/>
          <w:lang w:val="en-GB" w:eastAsia="en-GB"/>
        </w:rPr>
        <w:t>Sınıf</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akranlarıyla</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kaynaştırmayı</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destekleme</w:t>
      </w:r>
      <w:proofErr w:type="spellEnd"/>
      <w:r w:rsidRPr="0052307E">
        <w:rPr>
          <w:i/>
          <w:color w:val="000000"/>
          <w:sz w:val="18"/>
          <w:szCs w:val="18"/>
          <w:lang w:val="en-GB" w:eastAsia="en-GB"/>
        </w:rPr>
        <w:t xml:space="preserve">,” </w:t>
      </w:r>
      <w:r w:rsidRPr="0052307E">
        <w:rPr>
          <w:color w:val="000000"/>
          <w:sz w:val="18"/>
          <w:szCs w:val="18"/>
          <w:lang w:val="en-GB" w:eastAsia="en-GB"/>
        </w:rPr>
        <w:t xml:space="preserve">M. </w:t>
      </w:r>
      <w:proofErr w:type="spellStart"/>
      <w:r w:rsidRPr="0052307E">
        <w:rPr>
          <w:color w:val="000000"/>
          <w:sz w:val="18"/>
          <w:szCs w:val="18"/>
          <w:lang w:val="en-GB" w:eastAsia="en-GB"/>
        </w:rPr>
        <w:t>Şahin</w:t>
      </w:r>
      <w:proofErr w:type="spellEnd"/>
      <w:r w:rsidRPr="0052307E">
        <w:rPr>
          <w:color w:val="000000"/>
          <w:sz w:val="18"/>
          <w:szCs w:val="18"/>
          <w:lang w:val="en-GB" w:eastAsia="en-GB"/>
        </w:rPr>
        <w:t xml:space="preserve"> and T. </w:t>
      </w:r>
      <w:proofErr w:type="spellStart"/>
      <w:r w:rsidRPr="0052307E">
        <w:rPr>
          <w:color w:val="000000"/>
          <w:sz w:val="18"/>
          <w:szCs w:val="18"/>
          <w:lang w:val="en-GB" w:eastAsia="en-GB"/>
        </w:rPr>
        <w:t>Altun</w:t>
      </w:r>
      <w:proofErr w:type="spellEnd"/>
      <w:r w:rsidRPr="0052307E">
        <w:rPr>
          <w:color w:val="000000"/>
          <w:sz w:val="18"/>
          <w:szCs w:val="18"/>
          <w:lang w:val="en-GB" w:eastAsia="en-GB"/>
        </w:rPr>
        <w:t xml:space="preserve"> (Ed.), “</w:t>
      </w:r>
      <w:proofErr w:type="spellStart"/>
      <w:r w:rsidRPr="0052307E">
        <w:rPr>
          <w:color w:val="000000"/>
          <w:sz w:val="18"/>
          <w:szCs w:val="18"/>
          <w:lang w:val="en-GB" w:eastAsia="en-GB"/>
        </w:rPr>
        <w:t>K</w:t>
      </w:r>
      <w:r w:rsidRPr="0052307E">
        <w:rPr>
          <w:i/>
          <w:color w:val="000000"/>
          <w:sz w:val="18"/>
          <w:szCs w:val="18"/>
          <w:lang w:val="en-GB" w:eastAsia="en-GB"/>
        </w:rPr>
        <w:t>aynaştırma</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sınıfı</w:t>
      </w:r>
      <w:proofErr w:type="spellEnd"/>
      <w:r w:rsidRPr="0052307E">
        <w:rPr>
          <w:i/>
          <w:color w:val="000000"/>
          <w:sz w:val="18"/>
          <w:szCs w:val="18"/>
          <w:lang w:val="en-GB" w:eastAsia="en-GB"/>
        </w:rPr>
        <w:t>:</w:t>
      </w:r>
      <w:r w:rsidRPr="0052307E">
        <w:rPr>
          <w:color w:val="000000"/>
          <w:sz w:val="18"/>
          <w:szCs w:val="18"/>
          <w:lang w:val="en-GB" w:eastAsia="en-GB"/>
        </w:rPr>
        <w:t xml:space="preserve"> </w:t>
      </w:r>
      <w:proofErr w:type="spellStart"/>
      <w:r w:rsidRPr="0052307E">
        <w:rPr>
          <w:i/>
          <w:color w:val="000000"/>
          <w:sz w:val="18"/>
          <w:szCs w:val="18"/>
          <w:lang w:val="en-GB" w:eastAsia="en-GB"/>
        </w:rPr>
        <w:t>Etkili</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farklılaştırılmış</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öğretim</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için</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stratejiler</w:t>
      </w:r>
      <w:proofErr w:type="spellEnd"/>
      <w:r w:rsidRPr="0052307E">
        <w:rPr>
          <w:i/>
          <w:color w:val="000000"/>
          <w:sz w:val="18"/>
          <w:szCs w:val="18"/>
          <w:lang w:val="en-GB" w:eastAsia="en-GB"/>
        </w:rPr>
        <w:t>.”</w:t>
      </w:r>
      <w:r w:rsidRPr="0052307E">
        <w:rPr>
          <w:color w:val="000000"/>
          <w:sz w:val="18"/>
          <w:szCs w:val="18"/>
          <w:lang w:val="en-GB" w:eastAsia="en-GB"/>
        </w:rPr>
        <w:t>Ankara: Nobel Publishing, 2016.</w:t>
      </w:r>
    </w:p>
    <w:p w14:paraId="28FDB73A" w14:textId="77777777" w:rsidR="0052307E" w:rsidRPr="0052307E" w:rsidRDefault="0052307E" w:rsidP="0052307E">
      <w:pPr>
        <w:numPr>
          <w:ilvl w:val="0"/>
          <w:numId w:val="17"/>
        </w:numPr>
        <w:tabs>
          <w:tab w:val="left" w:pos="426"/>
        </w:tabs>
        <w:ind w:left="426" w:hanging="426"/>
        <w:jc w:val="both"/>
        <w:rPr>
          <w:noProof/>
          <w:sz w:val="18"/>
          <w:szCs w:val="18"/>
        </w:rPr>
      </w:pPr>
      <w:r w:rsidRPr="0052307E">
        <w:rPr>
          <w:sz w:val="18"/>
          <w:szCs w:val="18"/>
          <w:lang w:val="en-GB" w:eastAsia="en-GB"/>
        </w:rPr>
        <w:t xml:space="preserve">H. </w:t>
      </w:r>
      <w:proofErr w:type="spellStart"/>
      <w:r w:rsidRPr="0052307E">
        <w:rPr>
          <w:color w:val="000000"/>
          <w:sz w:val="18"/>
          <w:szCs w:val="18"/>
          <w:lang w:val="en-GB" w:eastAsia="en-GB"/>
        </w:rPr>
        <w:t>Avcı</w:t>
      </w:r>
      <w:r w:rsidRPr="0052307E">
        <w:rPr>
          <w:sz w:val="18"/>
          <w:szCs w:val="18"/>
          <w:lang w:val="en-GB" w:eastAsia="en-GB"/>
        </w:rPr>
        <w:t>oğlu</w:t>
      </w:r>
      <w:proofErr w:type="spellEnd"/>
      <w:r w:rsidRPr="0052307E">
        <w:rPr>
          <w:sz w:val="18"/>
          <w:szCs w:val="18"/>
          <w:lang w:val="en-GB" w:eastAsia="en-GB"/>
        </w:rPr>
        <w:t>, “</w:t>
      </w:r>
      <w:r w:rsidRPr="0052307E">
        <w:rPr>
          <w:sz w:val="18"/>
          <w:szCs w:val="18"/>
          <w:lang w:eastAsia="en-GB"/>
        </w:rPr>
        <w:t xml:space="preserve">Classroom teachers’ behaviors and peers’ acceptance of students in inclusive classrooms,” </w:t>
      </w:r>
      <w:r w:rsidRPr="0052307E">
        <w:rPr>
          <w:i/>
          <w:sz w:val="18"/>
          <w:szCs w:val="18"/>
          <w:lang w:eastAsia="en-GB"/>
        </w:rPr>
        <w:t>Educational Sciences: Theory &amp; Practice</w:t>
      </w:r>
      <w:r w:rsidRPr="0052307E">
        <w:rPr>
          <w:sz w:val="18"/>
          <w:szCs w:val="18"/>
          <w:lang w:val="en-GB" w:eastAsia="en-GB"/>
        </w:rPr>
        <w:t>, vol. 17, no. 2, pp. 463-492, 2017.</w:t>
      </w:r>
    </w:p>
    <w:p w14:paraId="286AF055" w14:textId="77777777" w:rsidR="0052307E" w:rsidRPr="0052307E" w:rsidRDefault="0052307E" w:rsidP="0052307E">
      <w:pPr>
        <w:numPr>
          <w:ilvl w:val="0"/>
          <w:numId w:val="17"/>
        </w:numPr>
        <w:ind w:left="426" w:hanging="426"/>
        <w:contextualSpacing/>
        <w:jc w:val="both"/>
        <w:rPr>
          <w:color w:val="333333"/>
          <w:sz w:val="18"/>
          <w:szCs w:val="18"/>
          <w:lang w:val="en-GB" w:eastAsia="en-GB"/>
        </w:rPr>
      </w:pPr>
      <w:r w:rsidRPr="0052307E">
        <w:rPr>
          <w:color w:val="222222"/>
          <w:sz w:val="18"/>
          <w:szCs w:val="18"/>
          <w:shd w:val="clear" w:color="auto" w:fill="FFFFFF"/>
          <w:lang w:val="en-GB" w:eastAsia="en-GB"/>
        </w:rPr>
        <w:t xml:space="preserve">G. </w:t>
      </w:r>
      <w:proofErr w:type="spellStart"/>
      <w:r w:rsidRPr="0052307E">
        <w:rPr>
          <w:color w:val="222222"/>
          <w:sz w:val="18"/>
          <w:szCs w:val="18"/>
          <w:shd w:val="clear" w:color="auto" w:fill="FFFFFF"/>
          <w:lang w:val="en-GB" w:eastAsia="en-GB"/>
        </w:rPr>
        <w:t>Kahveci</w:t>
      </w:r>
      <w:proofErr w:type="spellEnd"/>
      <w:r w:rsidRPr="0052307E">
        <w:rPr>
          <w:color w:val="222222"/>
          <w:sz w:val="18"/>
          <w:szCs w:val="18"/>
          <w:shd w:val="clear" w:color="auto" w:fill="FFFFFF"/>
          <w:lang w:val="en-GB" w:eastAsia="en-GB"/>
        </w:rPr>
        <w:t xml:space="preserve"> and N. B. </w:t>
      </w:r>
      <w:proofErr w:type="spellStart"/>
      <w:r w:rsidRPr="0052307E">
        <w:rPr>
          <w:color w:val="222222"/>
          <w:sz w:val="18"/>
          <w:szCs w:val="18"/>
          <w:shd w:val="clear" w:color="auto" w:fill="FFFFFF"/>
          <w:lang w:val="en-GB" w:eastAsia="en-GB"/>
        </w:rPr>
        <w:t>Serin</w:t>
      </w:r>
      <w:proofErr w:type="spellEnd"/>
      <w:r w:rsidRPr="0052307E">
        <w:rPr>
          <w:color w:val="222222"/>
          <w:sz w:val="18"/>
          <w:szCs w:val="18"/>
          <w:shd w:val="clear" w:color="auto" w:fill="FFFFFF"/>
          <w:lang w:val="en-GB" w:eastAsia="en-GB"/>
        </w:rPr>
        <w:t>, “</w:t>
      </w:r>
      <w:hyperlink r:id="rId18" w:history="1">
        <w:r w:rsidRPr="0052307E">
          <w:rPr>
            <w:sz w:val="18"/>
            <w:szCs w:val="18"/>
            <w:shd w:val="clear" w:color="auto" w:fill="FFFFFF"/>
            <w:lang w:val="en-GB" w:eastAsia="en-GB"/>
          </w:rPr>
          <w:t>Individualized social skills program for decreasing disruptive and aggressive behaviors in high-incidence disabilities</w:t>
        </w:r>
      </w:hyperlink>
      <w:r w:rsidRPr="0052307E">
        <w:rPr>
          <w:sz w:val="18"/>
          <w:szCs w:val="18"/>
          <w:shd w:val="clear" w:color="auto" w:fill="FFFFFF"/>
          <w:lang w:val="en-GB" w:eastAsia="en-GB"/>
        </w:rPr>
        <w:t xml:space="preserve">,” </w:t>
      </w:r>
      <w:r w:rsidRPr="0052307E">
        <w:rPr>
          <w:i/>
          <w:color w:val="333333"/>
          <w:sz w:val="18"/>
          <w:szCs w:val="18"/>
          <w:lang w:val="en-GB" w:eastAsia="en-GB"/>
        </w:rPr>
        <w:t xml:space="preserve">Electronic Turkish Studies, </w:t>
      </w:r>
      <w:r w:rsidRPr="0052307E">
        <w:rPr>
          <w:color w:val="333333"/>
          <w:sz w:val="18"/>
          <w:szCs w:val="18"/>
          <w:lang w:val="en-GB" w:eastAsia="en-GB"/>
        </w:rPr>
        <w:t xml:space="preserve">vol. 12, no. 18, pp. 395-408, </w:t>
      </w:r>
      <w:r w:rsidRPr="0052307E">
        <w:rPr>
          <w:sz w:val="18"/>
          <w:szCs w:val="18"/>
          <w:lang w:val="en-GB" w:eastAsia="en-GB"/>
        </w:rPr>
        <w:t>2017</w:t>
      </w:r>
      <w:r w:rsidRPr="0052307E">
        <w:rPr>
          <w:color w:val="333333"/>
          <w:sz w:val="18"/>
          <w:szCs w:val="18"/>
          <w:lang w:val="en-GB" w:eastAsia="en-GB"/>
        </w:rPr>
        <w:t xml:space="preserve">. </w:t>
      </w:r>
      <w:proofErr w:type="spellStart"/>
      <w:proofErr w:type="gramStart"/>
      <w:r w:rsidRPr="0052307E">
        <w:rPr>
          <w:sz w:val="18"/>
          <w:szCs w:val="18"/>
          <w:lang w:bidi="th-TH"/>
        </w:rPr>
        <w:t>doi</w:t>
      </w:r>
      <w:proofErr w:type="spellEnd"/>
      <w:proofErr w:type="gramEnd"/>
      <w:r w:rsidRPr="0052307E">
        <w:rPr>
          <w:sz w:val="18"/>
          <w:szCs w:val="18"/>
          <w:lang w:bidi="th-TH"/>
        </w:rPr>
        <w:t xml:space="preserve">: </w:t>
      </w:r>
      <w:hyperlink r:id="rId19" w:history="1">
        <w:r w:rsidRPr="0052307E">
          <w:rPr>
            <w:color w:val="0563C1"/>
            <w:sz w:val="18"/>
            <w:szCs w:val="18"/>
            <w:u w:val="single"/>
            <w:lang w:bidi="th-TH"/>
          </w:rPr>
          <w:t>http://dx.doi.org/10.7827/TurkishStudies.</w:t>
        </w:r>
      </w:hyperlink>
    </w:p>
    <w:p w14:paraId="2992B290" w14:textId="77777777" w:rsidR="0052307E" w:rsidRPr="0052307E" w:rsidRDefault="0052307E" w:rsidP="0052307E">
      <w:pPr>
        <w:numPr>
          <w:ilvl w:val="0"/>
          <w:numId w:val="17"/>
        </w:numPr>
        <w:ind w:left="426" w:hanging="426"/>
        <w:contextualSpacing/>
        <w:jc w:val="both"/>
        <w:rPr>
          <w:color w:val="000000"/>
          <w:sz w:val="18"/>
          <w:szCs w:val="18"/>
          <w:lang w:eastAsia="en-GB"/>
        </w:rPr>
      </w:pPr>
      <w:r w:rsidRPr="0052307E">
        <w:rPr>
          <w:color w:val="000000"/>
          <w:sz w:val="18"/>
          <w:szCs w:val="18"/>
          <w:lang w:val="en-GB" w:eastAsia="en-GB"/>
        </w:rPr>
        <w:t xml:space="preserve">E. S. </w:t>
      </w:r>
      <w:proofErr w:type="spellStart"/>
      <w:r w:rsidRPr="0052307E">
        <w:rPr>
          <w:color w:val="000000"/>
          <w:sz w:val="18"/>
          <w:szCs w:val="18"/>
          <w:lang w:val="en-GB" w:eastAsia="en-GB"/>
        </w:rPr>
        <w:t>Batu</w:t>
      </w:r>
      <w:proofErr w:type="spellEnd"/>
      <w:r w:rsidRPr="0052307E">
        <w:rPr>
          <w:color w:val="000000"/>
          <w:sz w:val="18"/>
          <w:szCs w:val="18"/>
          <w:lang w:val="en-GB" w:eastAsia="en-GB"/>
        </w:rPr>
        <w:t xml:space="preserve">, A. </w:t>
      </w:r>
      <w:proofErr w:type="spellStart"/>
      <w:r w:rsidRPr="0052307E">
        <w:rPr>
          <w:color w:val="000000"/>
          <w:sz w:val="18"/>
          <w:szCs w:val="18"/>
          <w:lang w:val="en-GB" w:eastAsia="en-GB"/>
        </w:rPr>
        <w:t>Çolak</w:t>
      </w:r>
      <w:proofErr w:type="spellEnd"/>
      <w:r w:rsidRPr="0052307E">
        <w:rPr>
          <w:color w:val="000000"/>
          <w:sz w:val="18"/>
          <w:szCs w:val="18"/>
          <w:lang w:val="en-GB" w:eastAsia="en-GB"/>
        </w:rPr>
        <w:t xml:space="preserve"> and S. </w:t>
      </w:r>
      <w:proofErr w:type="spellStart"/>
      <w:r w:rsidRPr="0052307E">
        <w:rPr>
          <w:color w:val="000000"/>
          <w:sz w:val="18"/>
          <w:szCs w:val="18"/>
          <w:lang w:val="en-GB" w:eastAsia="en-GB"/>
        </w:rPr>
        <w:t>Odluyurt</w:t>
      </w:r>
      <w:proofErr w:type="spellEnd"/>
      <w:r w:rsidRPr="0052307E">
        <w:rPr>
          <w:color w:val="000000"/>
          <w:sz w:val="18"/>
          <w:szCs w:val="18"/>
          <w:lang w:val="en-GB" w:eastAsia="en-GB"/>
        </w:rPr>
        <w:t>, “</w:t>
      </w:r>
      <w:proofErr w:type="spellStart"/>
      <w:r w:rsidRPr="0052307E">
        <w:rPr>
          <w:i/>
          <w:color w:val="000000"/>
          <w:sz w:val="18"/>
          <w:szCs w:val="18"/>
          <w:lang w:val="en-GB" w:eastAsia="en-GB"/>
        </w:rPr>
        <w:t>Özel</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gereksinimli</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öğrencilerin</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kaynaştırılması</w:t>
      </w:r>
      <w:proofErr w:type="spellEnd"/>
      <w:r w:rsidRPr="0052307E">
        <w:rPr>
          <w:i/>
          <w:color w:val="000000"/>
          <w:sz w:val="18"/>
          <w:szCs w:val="18"/>
          <w:lang w:val="en-GB" w:eastAsia="en-GB"/>
        </w:rPr>
        <w:t>,”</w:t>
      </w:r>
      <w:r w:rsidRPr="0052307E">
        <w:rPr>
          <w:color w:val="000000"/>
          <w:sz w:val="18"/>
          <w:szCs w:val="18"/>
          <w:lang w:val="en-GB" w:eastAsia="en-GB"/>
        </w:rPr>
        <w:t xml:space="preserve"> Ankara: </w:t>
      </w:r>
      <w:proofErr w:type="spellStart"/>
      <w:r w:rsidRPr="0052307E">
        <w:rPr>
          <w:color w:val="000000"/>
          <w:sz w:val="18"/>
          <w:szCs w:val="18"/>
          <w:lang w:val="en-GB" w:eastAsia="en-GB"/>
        </w:rPr>
        <w:t>Vize</w:t>
      </w:r>
      <w:proofErr w:type="spellEnd"/>
      <w:r w:rsidRPr="0052307E">
        <w:rPr>
          <w:color w:val="000000"/>
          <w:sz w:val="18"/>
          <w:szCs w:val="18"/>
          <w:lang w:val="en-GB" w:eastAsia="en-GB"/>
        </w:rPr>
        <w:t xml:space="preserve"> Publishing, 2012.</w:t>
      </w:r>
    </w:p>
    <w:p w14:paraId="7BD9154D" w14:textId="77777777" w:rsidR="0052307E" w:rsidRPr="0052307E" w:rsidRDefault="0052307E" w:rsidP="0052307E">
      <w:pPr>
        <w:numPr>
          <w:ilvl w:val="0"/>
          <w:numId w:val="17"/>
        </w:numPr>
        <w:ind w:left="426" w:hanging="426"/>
        <w:contextualSpacing/>
        <w:jc w:val="both"/>
        <w:rPr>
          <w:color w:val="000000"/>
          <w:sz w:val="18"/>
          <w:szCs w:val="18"/>
          <w:lang w:val="en-GB" w:eastAsia="en-GB"/>
        </w:rPr>
      </w:pPr>
      <w:r w:rsidRPr="0052307E">
        <w:rPr>
          <w:color w:val="000000"/>
          <w:sz w:val="18"/>
          <w:szCs w:val="18"/>
          <w:lang w:val="en-GB" w:eastAsia="en-GB"/>
        </w:rPr>
        <w:t xml:space="preserve">H. </w:t>
      </w:r>
      <w:proofErr w:type="spellStart"/>
      <w:r w:rsidRPr="0052307E">
        <w:rPr>
          <w:color w:val="000000"/>
          <w:sz w:val="18"/>
          <w:szCs w:val="18"/>
          <w:lang w:val="en-GB" w:eastAsia="en-GB"/>
        </w:rPr>
        <w:t>Bayraklı</w:t>
      </w:r>
      <w:proofErr w:type="spellEnd"/>
      <w:r w:rsidRPr="0052307E">
        <w:rPr>
          <w:color w:val="000000"/>
          <w:sz w:val="18"/>
          <w:szCs w:val="18"/>
          <w:lang w:val="en-GB" w:eastAsia="en-GB"/>
        </w:rPr>
        <w:t xml:space="preserve"> and B. </w:t>
      </w:r>
      <w:proofErr w:type="spellStart"/>
      <w:r w:rsidRPr="0052307E">
        <w:rPr>
          <w:color w:val="000000"/>
          <w:sz w:val="18"/>
          <w:szCs w:val="18"/>
          <w:lang w:val="en-GB" w:eastAsia="en-GB"/>
        </w:rPr>
        <w:t>Sucuoğlu</w:t>
      </w:r>
      <w:proofErr w:type="spellEnd"/>
      <w:r w:rsidRPr="0052307E">
        <w:rPr>
          <w:color w:val="000000"/>
          <w:sz w:val="18"/>
          <w:szCs w:val="18"/>
          <w:lang w:val="en-GB" w:eastAsia="en-GB"/>
        </w:rPr>
        <w:t>, “</w:t>
      </w:r>
      <w:proofErr w:type="spellStart"/>
      <w:r w:rsidRPr="0052307E">
        <w:rPr>
          <w:i/>
          <w:color w:val="000000"/>
          <w:sz w:val="18"/>
          <w:szCs w:val="18"/>
          <w:lang w:val="en-GB" w:eastAsia="en-GB"/>
        </w:rPr>
        <w:t>Okul</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öncesinde</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kaynaştırma</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eğitimi</w:t>
      </w:r>
      <w:proofErr w:type="spellEnd"/>
      <w:r w:rsidRPr="0052307E">
        <w:rPr>
          <w:i/>
          <w:color w:val="000000"/>
          <w:sz w:val="18"/>
          <w:szCs w:val="18"/>
          <w:lang w:val="en-GB" w:eastAsia="en-GB"/>
        </w:rPr>
        <w:t>,”</w:t>
      </w:r>
      <w:r w:rsidRPr="0052307E">
        <w:rPr>
          <w:color w:val="000000"/>
          <w:sz w:val="18"/>
          <w:szCs w:val="18"/>
          <w:lang w:val="en-GB" w:eastAsia="en-GB"/>
        </w:rPr>
        <w:t xml:space="preserve"> Ankara: </w:t>
      </w:r>
      <w:proofErr w:type="spellStart"/>
      <w:r w:rsidRPr="0052307E">
        <w:rPr>
          <w:color w:val="000000"/>
          <w:sz w:val="18"/>
          <w:szCs w:val="18"/>
          <w:lang w:val="en-GB" w:eastAsia="en-GB"/>
        </w:rPr>
        <w:t>Pegem</w:t>
      </w:r>
      <w:proofErr w:type="spellEnd"/>
      <w:r w:rsidRPr="0052307E">
        <w:rPr>
          <w:color w:val="000000"/>
          <w:sz w:val="18"/>
          <w:szCs w:val="18"/>
          <w:lang w:val="en-GB" w:eastAsia="en-GB"/>
        </w:rPr>
        <w:t xml:space="preserve"> </w:t>
      </w:r>
      <w:proofErr w:type="spellStart"/>
      <w:r w:rsidRPr="0052307E">
        <w:rPr>
          <w:color w:val="000000"/>
          <w:sz w:val="18"/>
          <w:szCs w:val="18"/>
          <w:lang w:val="en-GB" w:eastAsia="en-GB"/>
        </w:rPr>
        <w:t>Akademy</w:t>
      </w:r>
      <w:proofErr w:type="spellEnd"/>
      <w:r w:rsidRPr="0052307E">
        <w:rPr>
          <w:color w:val="000000"/>
          <w:sz w:val="18"/>
          <w:szCs w:val="18"/>
          <w:lang w:val="en-GB" w:eastAsia="en-GB"/>
        </w:rPr>
        <w:t>, 2018.</w:t>
      </w:r>
    </w:p>
    <w:p w14:paraId="521326C1" w14:textId="77777777" w:rsidR="0052307E" w:rsidRPr="0052307E" w:rsidRDefault="0052307E" w:rsidP="0052307E">
      <w:pPr>
        <w:numPr>
          <w:ilvl w:val="0"/>
          <w:numId w:val="17"/>
        </w:numPr>
        <w:tabs>
          <w:tab w:val="left" w:pos="426"/>
        </w:tabs>
        <w:ind w:left="426" w:hanging="426"/>
        <w:jc w:val="both"/>
        <w:rPr>
          <w:noProof/>
          <w:sz w:val="18"/>
          <w:szCs w:val="18"/>
        </w:rPr>
      </w:pPr>
      <w:r w:rsidRPr="0052307E">
        <w:rPr>
          <w:sz w:val="18"/>
          <w:szCs w:val="18"/>
          <w:shd w:val="clear" w:color="auto" w:fill="FFFFFF"/>
          <w:lang w:val="en-GB" w:eastAsia="en-GB"/>
        </w:rPr>
        <w:t xml:space="preserve">N. D. </w:t>
      </w:r>
      <w:proofErr w:type="spellStart"/>
      <w:r w:rsidRPr="0052307E">
        <w:rPr>
          <w:sz w:val="18"/>
          <w:szCs w:val="18"/>
          <w:shd w:val="clear" w:color="auto" w:fill="FFFFFF"/>
          <w:lang w:val="en-GB" w:eastAsia="en-GB"/>
        </w:rPr>
        <w:t>Saltalı</w:t>
      </w:r>
      <w:proofErr w:type="spellEnd"/>
      <w:r w:rsidRPr="0052307E">
        <w:rPr>
          <w:sz w:val="18"/>
          <w:szCs w:val="18"/>
          <w:shd w:val="clear" w:color="auto" w:fill="FFFFFF"/>
          <w:lang w:val="en-GB" w:eastAsia="en-GB"/>
        </w:rPr>
        <w:t xml:space="preserve"> and H. M. </w:t>
      </w:r>
      <w:proofErr w:type="spellStart"/>
      <w:r w:rsidRPr="0052307E">
        <w:rPr>
          <w:sz w:val="18"/>
          <w:szCs w:val="18"/>
          <w:shd w:val="clear" w:color="auto" w:fill="FFFFFF"/>
          <w:lang w:val="en-GB" w:eastAsia="en-GB"/>
        </w:rPr>
        <w:t>İmir</w:t>
      </w:r>
      <w:proofErr w:type="spellEnd"/>
      <w:r w:rsidRPr="0052307E">
        <w:rPr>
          <w:sz w:val="18"/>
          <w:szCs w:val="18"/>
          <w:shd w:val="clear" w:color="auto" w:fill="FFFFFF"/>
          <w:lang w:val="en-GB" w:eastAsia="en-GB"/>
        </w:rPr>
        <w:t>, “Parenting styles as a predictor of the preschool children’s social behaviours. </w:t>
      </w:r>
      <w:r w:rsidRPr="0052307E">
        <w:rPr>
          <w:i/>
          <w:iCs/>
          <w:sz w:val="18"/>
          <w:szCs w:val="18"/>
          <w:shd w:val="clear" w:color="auto" w:fill="FFFFFF"/>
          <w:lang w:val="en-GB" w:eastAsia="en-GB"/>
        </w:rPr>
        <w:t>Participatory Educational Research</w:t>
      </w:r>
      <w:r w:rsidRPr="0052307E">
        <w:rPr>
          <w:sz w:val="18"/>
          <w:szCs w:val="18"/>
          <w:shd w:val="clear" w:color="auto" w:fill="FFFFFF"/>
          <w:lang w:val="en-GB" w:eastAsia="en-GB"/>
        </w:rPr>
        <w:t>, </w:t>
      </w:r>
      <w:r w:rsidRPr="0052307E">
        <w:rPr>
          <w:i/>
          <w:iCs/>
          <w:sz w:val="18"/>
          <w:szCs w:val="18"/>
          <w:shd w:val="clear" w:color="auto" w:fill="FFFFFF"/>
          <w:lang w:val="en-GB" w:eastAsia="en-GB"/>
        </w:rPr>
        <w:t>5</w:t>
      </w:r>
      <w:r w:rsidRPr="0052307E">
        <w:rPr>
          <w:sz w:val="18"/>
          <w:szCs w:val="18"/>
          <w:shd w:val="clear" w:color="auto" w:fill="FFFFFF"/>
          <w:lang w:val="en-GB" w:eastAsia="en-GB"/>
        </w:rPr>
        <w:t>(2), 18-37, 2018.</w:t>
      </w:r>
    </w:p>
    <w:p w14:paraId="43C296A6" w14:textId="77777777" w:rsidR="0052307E" w:rsidRPr="0052307E" w:rsidRDefault="0052307E" w:rsidP="0052307E">
      <w:pPr>
        <w:numPr>
          <w:ilvl w:val="0"/>
          <w:numId w:val="17"/>
        </w:numPr>
        <w:ind w:left="426" w:hanging="426"/>
        <w:contextualSpacing/>
        <w:jc w:val="both"/>
        <w:rPr>
          <w:color w:val="222222"/>
          <w:sz w:val="18"/>
          <w:szCs w:val="18"/>
          <w:shd w:val="clear" w:color="auto" w:fill="FFFFFF"/>
          <w:lang w:val="en-GB" w:eastAsia="en-GB"/>
        </w:rPr>
      </w:pPr>
      <w:r w:rsidRPr="0052307E">
        <w:rPr>
          <w:color w:val="222222"/>
          <w:sz w:val="18"/>
          <w:szCs w:val="18"/>
          <w:shd w:val="clear" w:color="auto" w:fill="FFFFFF"/>
          <w:lang w:val="en-GB" w:eastAsia="en-GB"/>
        </w:rPr>
        <w:t xml:space="preserve">G. </w:t>
      </w:r>
      <w:proofErr w:type="spellStart"/>
      <w:r w:rsidRPr="0052307E">
        <w:rPr>
          <w:color w:val="222222"/>
          <w:sz w:val="18"/>
          <w:szCs w:val="18"/>
          <w:shd w:val="clear" w:color="auto" w:fill="FFFFFF"/>
          <w:lang w:val="en-GB" w:eastAsia="en-GB"/>
        </w:rPr>
        <w:t>Kahveci</w:t>
      </w:r>
      <w:proofErr w:type="spellEnd"/>
      <w:r w:rsidRPr="0052307E">
        <w:rPr>
          <w:color w:val="222222"/>
          <w:sz w:val="18"/>
          <w:szCs w:val="18"/>
          <w:shd w:val="clear" w:color="auto" w:fill="FFFFFF"/>
          <w:lang w:val="en-GB" w:eastAsia="en-GB"/>
        </w:rPr>
        <w:t xml:space="preserve"> and M. </w:t>
      </w:r>
      <w:proofErr w:type="spellStart"/>
      <w:r w:rsidRPr="0052307E">
        <w:rPr>
          <w:color w:val="222222"/>
          <w:sz w:val="18"/>
          <w:szCs w:val="18"/>
          <w:shd w:val="clear" w:color="auto" w:fill="FFFFFF"/>
          <w:lang w:val="en-GB" w:eastAsia="en-GB"/>
        </w:rPr>
        <w:t>Selçuk</w:t>
      </w:r>
      <w:proofErr w:type="spellEnd"/>
      <w:r w:rsidRPr="0052307E">
        <w:rPr>
          <w:color w:val="222222"/>
          <w:sz w:val="18"/>
          <w:szCs w:val="18"/>
          <w:shd w:val="clear" w:color="auto" w:fill="FFFFFF"/>
          <w:lang w:val="en-GB" w:eastAsia="en-GB"/>
        </w:rPr>
        <w:t>, “</w:t>
      </w:r>
      <w:proofErr w:type="spellStart"/>
      <w:r w:rsidRPr="0052307E">
        <w:rPr>
          <w:color w:val="222222"/>
          <w:sz w:val="18"/>
          <w:szCs w:val="18"/>
          <w:shd w:val="clear" w:color="auto" w:fill="FFFFFF"/>
          <w:lang w:val="en-GB" w:eastAsia="en-GB"/>
        </w:rPr>
        <w:t>Aile-çocuk</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etkileşim</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terapisinin</w:t>
      </w:r>
      <w:proofErr w:type="spellEnd"/>
      <w:r w:rsidRPr="0052307E">
        <w:rPr>
          <w:color w:val="222222"/>
          <w:sz w:val="18"/>
          <w:szCs w:val="18"/>
          <w:shd w:val="clear" w:color="auto" w:fill="FFFFFF"/>
          <w:lang w:val="en-GB" w:eastAsia="en-GB"/>
        </w:rPr>
        <w:t xml:space="preserve"> (AÇET) </w:t>
      </w:r>
      <w:proofErr w:type="spellStart"/>
      <w:r w:rsidRPr="0052307E">
        <w:rPr>
          <w:color w:val="222222"/>
          <w:sz w:val="18"/>
          <w:szCs w:val="18"/>
          <w:shd w:val="clear" w:color="auto" w:fill="FFFFFF"/>
          <w:lang w:val="en-GB" w:eastAsia="en-GB"/>
        </w:rPr>
        <w:t>dikkat</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eksikliği</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hiperaktivite</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bozukluğuna</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sahip</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bir</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çocuk</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üzerindeki</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etkileri</w:t>
      </w:r>
      <w:proofErr w:type="spellEnd"/>
      <w:r w:rsidRPr="0052307E">
        <w:rPr>
          <w:color w:val="222222"/>
          <w:sz w:val="18"/>
          <w:szCs w:val="18"/>
          <w:shd w:val="clear" w:color="auto" w:fill="FFFFFF"/>
          <w:lang w:val="en-GB" w:eastAsia="en-GB"/>
        </w:rPr>
        <w:t xml:space="preserve">,” </w:t>
      </w:r>
      <w:r w:rsidRPr="0052307E">
        <w:rPr>
          <w:i/>
          <w:iCs/>
          <w:color w:val="222222"/>
          <w:sz w:val="18"/>
          <w:szCs w:val="18"/>
          <w:shd w:val="clear" w:color="auto" w:fill="FFFFFF"/>
          <w:lang w:val="en-GB" w:eastAsia="en-GB"/>
        </w:rPr>
        <w:t>Turkish International Journal of Special Education and Guidance &amp; Counselling (TIJSEG)</w:t>
      </w:r>
      <w:r w:rsidRPr="0052307E">
        <w:rPr>
          <w:color w:val="222222"/>
          <w:sz w:val="18"/>
          <w:szCs w:val="18"/>
          <w:shd w:val="clear" w:color="auto" w:fill="FFFFFF"/>
          <w:lang w:val="en-GB" w:eastAsia="en-GB"/>
        </w:rPr>
        <w:t xml:space="preserve">, vol. </w:t>
      </w:r>
      <w:r w:rsidRPr="0052307E">
        <w:rPr>
          <w:iCs/>
          <w:color w:val="222222"/>
          <w:sz w:val="18"/>
          <w:szCs w:val="18"/>
          <w:shd w:val="clear" w:color="auto" w:fill="FFFFFF"/>
          <w:lang w:val="en-GB" w:eastAsia="en-GB"/>
        </w:rPr>
        <w:t xml:space="preserve">7, no. </w:t>
      </w:r>
      <w:r w:rsidRPr="0052307E">
        <w:rPr>
          <w:color w:val="222222"/>
          <w:sz w:val="18"/>
          <w:szCs w:val="18"/>
          <w:shd w:val="clear" w:color="auto" w:fill="FFFFFF"/>
          <w:lang w:val="en-GB" w:eastAsia="en-GB"/>
        </w:rPr>
        <w:t>1, pp. 28-40, 2018.</w:t>
      </w:r>
    </w:p>
    <w:p w14:paraId="1B1A44A9" w14:textId="77777777" w:rsidR="0052307E" w:rsidRPr="0052307E" w:rsidRDefault="0052307E" w:rsidP="0052307E">
      <w:pPr>
        <w:numPr>
          <w:ilvl w:val="0"/>
          <w:numId w:val="17"/>
        </w:numPr>
        <w:ind w:left="426" w:hanging="426"/>
        <w:contextualSpacing/>
        <w:jc w:val="both"/>
        <w:rPr>
          <w:color w:val="000000"/>
          <w:sz w:val="18"/>
          <w:szCs w:val="18"/>
          <w:lang w:val="en-GB" w:eastAsia="en-GB"/>
        </w:rPr>
      </w:pPr>
      <w:r w:rsidRPr="0052307E">
        <w:rPr>
          <w:color w:val="000000"/>
          <w:sz w:val="18"/>
          <w:szCs w:val="18"/>
          <w:lang w:val="en-GB" w:eastAsia="en-GB"/>
        </w:rPr>
        <w:t xml:space="preserve">K. F. McGrath and P. V. Bergen, “Who, when, why and to what end? Students at risk of negative student–teacher relationships and their outcomes,” </w:t>
      </w:r>
      <w:r w:rsidRPr="0052307E">
        <w:rPr>
          <w:i/>
          <w:iCs/>
          <w:color w:val="000000"/>
          <w:sz w:val="18"/>
          <w:szCs w:val="18"/>
          <w:lang w:val="en-GB" w:eastAsia="en-GB"/>
        </w:rPr>
        <w:t>Educational Research Review</w:t>
      </w:r>
      <w:r w:rsidRPr="0052307E">
        <w:rPr>
          <w:color w:val="000000"/>
          <w:sz w:val="18"/>
          <w:szCs w:val="18"/>
          <w:lang w:val="en-GB" w:eastAsia="en-GB"/>
        </w:rPr>
        <w:t xml:space="preserve">, vol. </w:t>
      </w:r>
      <w:r w:rsidRPr="0052307E">
        <w:rPr>
          <w:iCs/>
          <w:color w:val="000000"/>
          <w:sz w:val="18"/>
          <w:szCs w:val="18"/>
          <w:lang w:val="en-GB" w:eastAsia="en-GB"/>
        </w:rPr>
        <w:t>14</w:t>
      </w:r>
      <w:r w:rsidRPr="0052307E">
        <w:rPr>
          <w:color w:val="000000"/>
          <w:sz w:val="18"/>
          <w:szCs w:val="18"/>
          <w:lang w:val="en-GB" w:eastAsia="en-GB"/>
        </w:rPr>
        <w:t xml:space="preserve">, pp. 1-17, 2015. </w:t>
      </w:r>
      <w:proofErr w:type="spellStart"/>
      <w:r w:rsidRPr="0052307E">
        <w:rPr>
          <w:color w:val="000000"/>
          <w:sz w:val="18"/>
          <w:szCs w:val="18"/>
          <w:lang w:val="en-GB" w:eastAsia="en-GB"/>
        </w:rPr>
        <w:t>doi</w:t>
      </w:r>
      <w:proofErr w:type="spellEnd"/>
      <w:r w:rsidRPr="0052307E">
        <w:rPr>
          <w:color w:val="000000"/>
          <w:sz w:val="18"/>
          <w:szCs w:val="18"/>
          <w:lang w:val="en-GB" w:eastAsia="en-GB"/>
        </w:rPr>
        <w:t xml:space="preserve">: </w:t>
      </w:r>
      <w:hyperlink r:id="rId20" w:history="1">
        <w:r w:rsidRPr="0052307E">
          <w:rPr>
            <w:color w:val="0563C1"/>
            <w:sz w:val="18"/>
            <w:szCs w:val="18"/>
            <w:u w:val="single"/>
            <w:lang w:bidi="th-TH"/>
          </w:rPr>
          <w:t>https://doi.org/10.1016/j.edurev.2014.12.001</w:t>
        </w:r>
      </w:hyperlink>
      <w:r w:rsidRPr="0052307E">
        <w:rPr>
          <w:color w:val="000000"/>
          <w:sz w:val="18"/>
          <w:szCs w:val="18"/>
          <w:lang w:val="en-GB" w:eastAsia="en-GB"/>
        </w:rPr>
        <w:t xml:space="preserve"> </w:t>
      </w:r>
    </w:p>
    <w:p w14:paraId="59C8BF84" w14:textId="77777777" w:rsidR="0052307E" w:rsidRPr="0052307E" w:rsidRDefault="0052307E" w:rsidP="0052307E">
      <w:pPr>
        <w:numPr>
          <w:ilvl w:val="0"/>
          <w:numId w:val="17"/>
        </w:numPr>
        <w:ind w:left="426" w:hanging="426"/>
        <w:contextualSpacing/>
        <w:jc w:val="both"/>
        <w:rPr>
          <w:color w:val="000000"/>
          <w:sz w:val="18"/>
          <w:szCs w:val="18"/>
          <w:lang w:val="en-GB" w:eastAsia="en-GB"/>
        </w:rPr>
      </w:pPr>
      <w:r w:rsidRPr="0052307E">
        <w:rPr>
          <w:color w:val="000000"/>
          <w:sz w:val="18"/>
          <w:szCs w:val="18"/>
          <w:lang w:val="en-GB" w:eastAsia="en-GB"/>
        </w:rPr>
        <w:t xml:space="preserve">F. </w:t>
      </w:r>
      <w:proofErr w:type="spellStart"/>
      <w:r w:rsidRPr="0052307E">
        <w:rPr>
          <w:color w:val="000000"/>
          <w:sz w:val="18"/>
          <w:szCs w:val="18"/>
          <w:lang w:val="en-GB" w:eastAsia="en-GB"/>
        </w:rPr>
        <w:t>Yener</w:t>
      </w:r>
      <w:proofErr w:type="spellEnd"/>
      <w:r w:rsidRPr="0052307E">
        <w:rPr>
          <w:color w:val="000000"/>
          <w:sz w:val="18"/>
          <w:szCs w:val="18"/>
          <w:lang w:val="en-GB" w:eastAsia="en-GB"/>
        </w:rPr>
        <w:t>, “</w:t>
      </w:r>
      <w:proofErr w:type="spellStart"/>
      <w:r w:rsidRPr="0052307E">
        <w:rPr>
          <w:i/>
          <w:iCs/>
          <w:color w:val="000000"/>
          <w:sz w:val="18"/>
          <w:szCs w:val="18"/>
          <w:lang w:val="en-GB" w:eastAsia="en-GB"/>
        </w:rPr>
        <w:t>Sorunlu</w:t>
      </w:r>
      <w:proofErr w:type="spellEnd"/>
      <w:r w:rsidRPr="0052307E">
        <w:rPr>
          <w:i/>
          <w:iCs/>
          <w:color w:val="000000"/>
          <w:sz w:val="18"/>
          <w:szCs w:val="18"/>
          <w:lang w:val="en-GB" w:eastAsia="en-GB"/>
        </w:rPr>
        <w:t xml:space="preserve"> </w:t>
      </w:r>
      <w:proofErr w:type="spellStart"/>
      <w:r w:rsidRPr="0052307E">
        <w:rPr>
          <w:i/>
          <w:iCs/>
          <w:color w:val="000000"/>
          <w:sz w:val="18"/>
          <w:szCs w:val="18"/>
          <w:lang w:val="en-GB" w:eastAsia="en-GB"/>
        </w:rPr>
        <w:t>öğrenci</w:t>
      </w:r>
      <w:proofErr w:type="spellEnd"/>
      <w:r w:rsidRPr="0052307E">
        <w:rPr>
          <w:i/>
          <w:iCs/>
          <w:color w:val="000000"/>
          <w:sz w:val="18"/>
          <w:szCs w:val="18"/>
          <w:lang w:val="en-GB" w:eastAsia="en-GB"/>
        </w:rPr>
        <w:t xml:space="preserve"> </w:t>
      </w:r>
      <w:proofErr w:type="spellStart"/>
      <w:r w:rsidRPr="0052307E">
        <w:rPr>
          <w:i/>
          <w:iCs/>
          <w:color w:val="000000"/>
          <w:sz w:val="18"/>
          <w:szCs w:val="18"/>
          <w:lang w:val="en-GB" w:eastAsia="en-GB"/>
        </w:rPr>
        <w:t>davranışlarının</w:t>
      </w:r>
      <w:proofErr w:type="spellEnd"/>
      <w:r w:rsidRPr="0052307E">
        <w:rPr>
          <w:i/>
          <w:iCs/>
          <w:color w:val="000000"/>
          <w:sz w:val="18"/>
          <w:szCs w:val="18"/>
          <w:lang w:val="en-GB" w:eastAsia="en-GB"/>
        </w:rPr>
        <w:t xml:space="preserve"> </w:t>
      </w:r>
      <w:proofErr w:type="spellStart"/>
      <w:r w:rsidRPr="0052307E">
        <w:rPr>
          <w:i/>
          <w:iCs/>
          <w:color w:val="000000"/>
          <w:sz w:val="18"/>
          <w:szCs w:val="18"/>
          <w:lang w:val="en-GB" w:eastAsia="en-GB"/>
        </w:rPr>
        <w:t>çözümünde</w:t>
      </w:r>
      <w:proofErr w:type="spellEnd"/>
      <w:r w:rsidRPr="0052307E">
        <w:rPr>
          <w:i/>
          <w:iCs/>
          <w:color w:val="000000"/>
          <w:sz w:val="18"/>
          <w:szCs w:val="18"/>
          <w:lang w:val="en-GB" w:eastAsia="en-GB"/>
        </w:rPr>
        <w:t xml:space="preserve"> </w:t>
      </w:r>
      <w:proofErr w:type="spellStart"/>
      <w:r w:rsidRPr="0052307E">
        <w:rPr>
          <w:i/>
          <w:iCs/>
          <w:color w:val="000000"/>
          <w:sz w:val="18"/>
          <w:szCs w:val="18"/>
          <w:lang w:val="en-GB" w:eastAsia="en-GB"/>
        </w:rPr>
        <w:t>yönetici</w:t>
      </w:r>
      <w:proofErr w:type="spellEnd"/>
      <w:r w:rsidRPr="0052307E">
        <w:rPr>
          <w:i/>
          <w:iCs/>
          <w:color w:val="000000"/>
          <w:sz w:val="18"/>
          <w:szCs w:val="18"/>
          <w:lang w:val="en-GB" w:eastAsia="en-GB"/>
        </w:rPr>
        <w:t xml:space="preserve"> </w:t>
      </w:r>
      <w:proofErr w:type="spellStart"/>
      <w:r w:rsidRPr="0052307E">
        <w:rPr>
          <w:i/>
          <w:iCs/>
          <w:color w:val="000000"/>
          <w:sz w:val="18"/>
          <w:szCs w:val="18"/>
          <w:lang w:val="en-GB" w:eastAsia="en-GB"/>
        </w:rPr>
        <w:t>ve</w:t>
      </w:r>
      <w:proofErr w:type="spellEnd"/>
      <w:r w:rsidRPr="0052307E">
        <w:rPr>
          <w:i/>
          <w:iCs/>
          <w:color w:val="000000"/>
          <w:sz w:val="18"/>
          <w:szCs w:val="18"/>
          <w:lang w:val="en-GB" w:eastAsia="en-GB"/>
        </w:rPr>
        <w:t xml:space="preserve"> </w:t>
      </w:r>
      <w:proofErr w:type="spellStart"/>
      <w:r w:rsidRPr="0052307E">
        <w:rPr>
          <w:i/>
          <w:iCs/>
          <w:color w:val="000000"/>
          <w:sz w:val="18"/>
          <w:szCs w:val="18"/>
          <w:lang w:val="en-GB" w:eastAsia="en-GB"/>
        </w:rPr>
        <w:t>öğretmenlerin</w:t>
      </w:r>
      <w:proofErr w:type="spellEnd"/>
      <w:r w:rsidRPr="0052307E">
        <w:rPr>
          <w:i/>
          <w:iCs/>
          <w:color w:val="000000"/>
          <w:sz w:val="18"/>
          <w:szCs w:val="18"/>
          <w:lang w:val="en-GB" w:eastAsia="en-GB"/>
        </w:rPr>
        <w:t xml:space="preserve"> </w:t>
      </w:r>
      <w:proofErr w:type="spellStart"/>
      <w:r w:rsidRPr="0052307E">
        <w:rPr>
          <w:i/>
          <w:iCs/>
          <w:color w:val="000000"/>
          <w:sz w:val="18"/>
          <w:szCs w:val="18"/>
          <w:lang w:val="en-GB" w:eastAsia="en-GB"/>
        </w:rPr>
        <w:t>rol</w:t>
      </w:r>
      <w:proofErr w:type="spellEnd"/>
      <w:r w:rsidRPr="0052307E">
        <w:rPr>
          <w:i/>
          <w:iCs/>
          <w:color w:val="000000"/>
          <w:sz w:val="18"/>
          <w:szCs w:val="18"/>
          <w:lang w:val="en-GB" w:eastAsia="en-GB"/>
        </w:rPr>
        <w:t xml:space="preserve"> model </w:t>
      </w:r>
      <w:proofErr w:type="spellStart"/>
      <w:r w:rsidRPr="0052307E">
        <w:rPr>
          <w:i/>
          <w:iCs/>
          <w:color w:val="000000"/>
          <w:sz w:val="18"/>
          <w:szCs w:val="18"/>
          <w:lang w:val="en-GB" w:eastAsia="en-GB"/>
        </w:rPr>
        <w:t>davranışlarının</w:t>
      </w:r>
      <w:proofErr w:type="spellEnd"/>
      <w:r w:rsidRPr="0052307E">
        <w:rPr>
          <w:i/>
          <w:iCs/>
          <w:color w:val="000000"/>
          <w:sz w:val="18"/>
          <w:szCs w:val="18"/>
          <w:lang w:val="en-GB" w:eastAsia="en-GB"/>
        </w:rPr>
        <w:t xml:space="preserve"> </w:t>
      </w:r>
      <w:proofErr w:type="spellStart"/>
      <w:r w:rsidRPr="0052307E">
        <w:rPr>
          <w:i/>
          <w:iCs/>
          <w:color w:val="000000"/>
          <w:sz w:val="18"/>
          <w:szCs w:val="18"/>
          <w:lang w:val="en-GB" w:eastAsia="en-GB"/>
        </w:rPr>
        <w:t>önemi</w:t>
      </w:r>
      <w:proofErr w:type="spellEnd"/>
      <w:r w:rsidRPr="0052307E">
        <w:rPr>
          <w:i/>
          <w:iCs/>
          <w:color w:val="000000"/>
          <w:sz w:val="18"/>
          <w:szCs w:val="18"/>
          <w:lang w:val="en-GB" w:eastAsia="en-GB"/>
        </w:rPr>
        <w:t xml:space="preserve"> </w:t>
      </w:r>
      <w:r w:rsidRPr="0052307E">
        <w:rPr>
          <w:iCs/>
          <w:color w:val="000000"/>
          <w:sz w:val="18"/>
          <w:szCs w:val="18"/>
          <w:lang w:val="en-GB" w:eastAsia="en-GB"/>
        </w:rPr>
        <w:t>[The importance of administrators and teachers' role model behaviours on the solutions of students' negative acts],” (</w:t>
      </w:r>
      <w:r w:rsidRPr="0052307E">
        <w:rPr>
          <w:sz w:val="18"/>
          <w:szCs w:val="18"/>
          <w:lang w:bidi="th-TH"/>
        </w:rPr>
        <w:t xml:space="preserve">Unpublished Master's Thesis). </w:t>
      </w:r>
      <w:proofErr w:type="spellStart"/>
      <w:r w:rsidRPr="0052307E">
        <w:rPr>
          <w:color w:val="000000"/>
          <w:sz w:val="18"/>
          <w:szCs w:val="18"/>
          <w:lang w:val="en-GB" w:eastAsia="en-GB"/>
        </w:rPr>
        <w:t>Kocaeli</w:t>
      </w:r>
      <w:proofErr w:type="spellEnd"/>
      <w:r w:rsidRPr="0052307E">
        <w:rPr>
          <w:color w:val="000000"/>
          <w:sz w:val="18"/>
          <w:szCs w:val="18"/>
          <w:lang w:val="en-GB" w:eastAsia="en-GB"/>
        </w:rPr>
        <w:t xml:space="preserve"> University, </w:t>
      </w:r>
      <w:proofErr w:type="spellStart"/>
      <w:r w:rsidRPr="0052307E">
        <w:rPr>
          <w:color w:val="000000"/>
          <w:sz w:val="18"/>
          <w:szCs w:val="18"/>
          <w:lang w:val="en-GB" w:eastAsia="en-GB"/>
        </w:rPr>
        <w:t>Kocaeli</w:t>
      </w:r>
      <w:proofErr w:type="spellEnd"/>
      <w:r w:rsidRPr="0052307E">
        <w:rPr>
          <w:color w:val="000000"/>
          <w:sz w:val="18"/>
          <w:szCs w:val="18"/>
          <w:lang w:val="en-GB" w:eastAsia="en-GB"/>
        </w:rPr>
        <w:t>, 2011.</w:t>
      </w:r>
    </w:p>
    <w:p w14:paraId="056806AB" w14:textId="77777777" w:rsidR="0052307E" w:rsidRPr="0052307E" w:rsidRDefault="0052307E" w:rsidP="0052307E">
      <w:pPr>
        <w:numPr>
          <w:ilvl w:val="0"/>
          <w:numId w:val="17"/>
        </w:numPr>
        <w:ind w:left="426" w:hanging="426"/>
        <w:contextualSpacing/>
        <w:jc w:val="both"/>
        <w:rPr>
          <w:color w:val="000000"/>
          <w:sz w:val="18"/>
          <w:szCs w:val="18"/>
          <w:lang w:val="en-GB" w:eastAsia="en-GB"/>
        </w:rPr>
      </w:pPr>
      <w:r w:rsidRPr="0052307E">
        <w:rPr>
          <w:color w:val="000000"/>
          <w:sz w:val="18"/>
          <w:szCs w:val="18"/>
          <w:lang w:val="en-GB" w:eastAsia="en-GB"/>
        </w:rPr>
        <w:t xml:space="preserve">G. </w:t>
      </w:r>
      <w:proofErr w:type="spellStart"/>
      <w:r w:rsidRPr="0052307E">
        <w:rPr>
          <w:color w:val="000000"/>
          <w:sz w:val="18"/>
          <w:szCs w:val="18"/>
          <w:lang w:val="en-GB" w:eastAsia="en-GB"/>
        </w:rPr>
        <w:t>Akçamete</w:t>
      </w:r>
      <w:proofErr w:type="spellEnd"/>
      <w:r w:rsidRPr="0052307E">
        <w:rPr>
          <w:color w:val="000000"/>
          <w:sz w:val="18"/>
          <w:szCs w:val="18"/>
          <w:lang w:val="en-GB" w:eastAsia="en-GB"/>
        </w:rPr>
        <w:t>, “</w:t>
      </w:r>
      <w:proofErr w:type="spellStart"/>
      <w:r w:rsidRPr="0052307E">
        <w:rPr>
          <w:i/>
          <w:color w:val="000000"/>
          <w:sz w:val="18"/>
          <w:szCs w:val="18"/>
          <w:lang w:val="en-GB" w:eastAsia="en-GB"/>
        </w:rPr>
        <w:t>Özel</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gereksinimli</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öğrenciler</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için</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kaynaştırma</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modeli</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geliştirme</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projesi</w:t>
      </w:r>
      <w:proofErr w:type="spellEnd"/>
      <w:r w:rsidRPr="0052307E">
        <w:rPr>
          <w:i/>
          <w:color w:val="000000"/>
          <w:sz w:val="18"/>
          <w:szCs w:val="18"/>
          <w:lang w:val="en-GB" w:eastAsia="en-GB"/>
        </w:rPr>
        <w:t xml:space="preserve">.” </w:t>
      </w:r>
      <w:r w:rsidRPr="0052307E">
        <w:rPr>
          <w:color w:val="000000"/>
          <w:sz w:val="18"/>
          <w:szCs w:val="18"/>
          <w:lang w:val="en-GB" w:eastAsia="en-GB"/>
        </w:rPr>
        <w:t xml:space="preserve">Ankara: Ankara </w:t>
      </w:r>
      <w:proofErr w:type="spellStart"/>
      <w:r w:rsidRPr="0052307E">
        <w:rPr>
          <w:color w:val="000000"/>
          <w:sz w:val="18"/>
          <w:szCs w:val="18"/>
          <w:lang w:val="en-GB" w:eastAsia="en-GB"/>
        </w:rPr>
        <w:t>Üniversitesi</w:t>
      </w:r>
      <w:proofErr w:type="spellEnd"/>
      <w:r w:rsidRPr="0052307E">
        <w:rPr>
          <w:color w:val="000000"/>
          <w:sz w:val="18"/>
          <w:szCs w:val="18"/>
          <w:lang w:val="en-GB" w:eastAsia="en-GB"/>
        </w:rPr>
        <w:t xml:space="preserve"> </w:t>
      </w:r>
      <w:proofErr w:type="spellStart"/>
      <w:r w:rsidRPr="0052307E">
        <w:rPr>
          <w:color w:val="000000"/>
          <w:sz w:val="18"/>
          <w:szCs w:val="18"/>
          <w:lang w:val="en-GB" w:eastAsia="en-GB"/>
        </w:rPr>
        <w:t>Bilimsel</w:t>
      </w:r>
      <w:proofErr w:type="spellEnd"/>
      <w:r w:rsidRPr="0052307E">
        <w:rPr>
          <w:color w:val="000000"/>
          <w:sz w:val="18"/>
          <w:szCs w:val="18"/>
          <w:lang w:val="en-GB" w:eastAsia="en-GB"/>
        </w:rPr>
        <w:t xml:space="preserve"> </w:t>
      </w:r>
      <w:proofErr w:type="spellStart"/>
      <w:r w:rsidRPr="0052307E">
        <w:rPr>
          <w:color w:val="000000"/>
          <w:sz w:val="18"/>
          <w:szCs w:val="18"/>
          <w:lang w:val="en-GB" w:eastAsia="en-GB"/>
        </w:rPr>
        <w:t>Araştırma</w:t>
      </w:r>
      <w:proofErr w:type="spellEnd"/>
      <w:r w:rsidRPr="0052307E">
        <w:rPr>
          <w:color w:val="000000"/>
          <w:sz w:val="18"/>
          <w:szCs w:val="18"/>
          <w:lang w:val="en-GB" w:eastAsia="en-GB"/>
        </w:rPr>
        <w:t xml:space="preserve"> </w:t>
      </w:r>
      <w:proofErr w:type="spellStart"/>
      <w:r w:rsidRPr="0052307E">
        <w:rPr>
          <w:color w:val="000000"/>
          <w:sz w:val="18"/>
          <w:szCs w:val="18"/>
          <w:lang w:val="en-GB" w:eastAsia="en-GB"/>
        </w:rPr>
        <w:t>Projeleri</w:t>
      </w:r>
      <w:proofErr w:type="spellEnd"/>
      <w:r w:rsidRPr="0052307E">
        <w:rPr>
          <w:color w:val="000000"/>
          <w:sz w:val="18"/>
          <w:szCs w:val="18"/>
          <w:lang w:val="en-GB" w:eastAsia="en-GB"/>
        </w:rPr>
        <w:t>, 2009.</w:t>
      </w:r>
    </w:p>
    <w:p w14:paraId="02D48E30" w14:textId="77777777" w:rsidR="0052307E" w:rsidRPr="0052307E" w:rsidRDefault="0052307E" w:rsidP="0052307E">
      <w:pPr>
        <w:numPr>
          <w:ilvl w:val="0"/>
          <w:numId w:val="17"/>
        </w:numPr>
        <w:ind w:left="426" w:hanging="426"/>
        <w:contextualSpacing/>
        <w:jc w:val="both"/>
        <w:rPr>
          <w:color w:val="222222"/>
          <w:sz w:val="18"/>
          <w:szCs w:val="18"/>
          <w:shd w:val="clear" w:color="auto" w:fill="FFFFFF"/>
          <w:lang w:val="en-GB" w:eastAsia="en-GB"/>
        </w:rPr>
      </w:pPr>
      <w:r w:rsidRPr="0052307E">
        <w:rPr>
          <w:sz w:val="18"/>
          <w:szCs w:val="18"/>
          <w:lang w:val="en-GB" w:eastAsia="en-GB"/>
        </w:rPr>
        <w:t xml:space="preserve">E. Allen and G. E. </w:t>
      </w:r>
      <w:proofErr w:type="spellStart"/>
      <w:r w:rsidRPr="0052307E">
        <w:rPr>
          <w:sz w:val="18"/>
          <w:szCs w:val="18"/>
          <w:lang w:val="en-GB" w:eastAsia="en-GB"/>
        </w:rPr>
        <w:t>Cowdery</w:t>
      </w:r>
      <w:proofErr w:type="spellEnd"/>
      <w:r w:rsidRPr="0052307E">
        <w:rPr>
          <w:sz w:val="18"/>
          <w:szCs w:val="18"/>
          <w:lang w:val="en-GB" w:eastAsia="en-GB"/>
        </w:rPr>
        <w:t>, “</w:t>
      </w:r>
      <w:r w:rsidRPr="0052307E">
        <w:rPr>
          <w:i/>
          <w:sz w:val="18"/>
          <w:szCs w:val="18"/>
          <w:lang w:val="en-GB" w:eastAsia="en-GB"/>
        </w:rPr>
        <w:t>The exceptional child: Inclusion in early childhood education,”</w:t>
      </w:r>
      <w:r w:rsidRPr="0052307E">
        <w:rPr>
          <w:sz w:val="18"/>
          <w:szCs w:val="18"/>
          <w:lang w:val="en-GB" w:eastAsia="en-GB"/>
        </w:rPr>
        <w:t xml:space="preserve"> Belmont, CA: Wadsworth/Cengage Learning, 2012.</w:t>
      </w:r>
    </w:p>
    <w:p w14:paraId="2F5F8687" w14:textId="77777777" w:rsidR="0052307E" w:rsidRPr="0052307E" w:rsidRDefault="0052307E" w:rsidP="0052307E">
      <w:pPr>
        <w:numPr>
          <w:ilvl w:val="0"/>
          <w:numId w:val="17"/>
        </w:numPr>
        <w:ind w:left="426" w:hanging="426"/>
        <w:contextualSpacing/>
        <w:jc w:val="both"/>
        <w:rPr>
          <w:color w:val="000000"/>
          <w:sz w:val="18"/>
          <w:szCs w:val="18"/>
          <w:lang w:val="en-GB" w:eastAsia="en-GB"/>
        </w:rPr>
      </w:pPr>
      <w:r w:rsidRPr="0052307E">
        <w:rPr>
          <w:color w:val="000000"/>
          <w:sz w:val="18"/>
          <w:szCs w:val="18"/>
          <w:lang w:val="en-GB" w:eastAsia="en-GB"/>
        </w:rPr>
        <w:t xml:space="preserve">E. S. </w:t>
      </w:r>
      <w:proofErr w:type="spellStart"/>
      <w:r w:rsidRPr="0052307E">
        <w:rPr>
          <w:color w:val="000000"/>
          <w:sz w:val="18"/>
          <w:szCs w:val="18"/>
          <w:lang w:val="en-GB" w:eastAsia="en-GB"/>
        </w:rPr>
        <w:t>Batu</w:t>
      </w:r>
      <w:proofErr w:type="spellEnd"/>
      <w:r w:rsidRPr="0052307E">
        <w:rPr>
          <w:color w:val="000000"/>
          <w:sz w:val="18"/>
          <w:szCs w:val="18"/>
          <w:lang w:val="en-GB" w:eastAsia="en-GB"/>
        </w:rPr>
        <w:t>, “</w:t>
      </w:r>
      <w:proofErr w:type="spellStart"/>
      <w:r w:rsidRPr="0052307E">
        <w:rPr>
          <w:color w:val="000000"/>
          <w:sz w:val="18"/>
          <w:szCs w:val="18"/>
          <w:lang w:val="en-GB" w:eastAsia="en-GB"/>
        </w:rPr>
        <w:t>Kaynaştırma</w:t>
      </w:r>
      <w:proofErr w:type="spellEnd"/>
      <w:r w:rsidRPr="0052307E">
        <w:rPr>
          <w:color w:val="000000"/>
          <w:sz w:val="18"/>
          <w:szCs w:val="18"/>
          <w:lang w:val="en-GB" w:eastAsia="en-GB"/>
        </w:rPr>
        <w:t xml:space="preserve">, </w:t>
      </w:r>
      <w:proofErr w:type="spellStart"/>
      <w:r w:rsidRPr="0052307E">
        <w:rPr>
          <w:color w:val="000000"/>
          <w:sz w:val="18"/>
          <w:szCs w:val="18"/>
          <w:lang w:val="en-GB" w:eastAsia="en-GB"/>
        </w:rPr>
        <w:t>destek</w:t>
      </w:r>
      <w:proofErr w:type="spellEnd"/>
      <w:r w:rsidRPr="0052307E">
        <w:rPr>
          <w:color w:val="000000"/>
          <w:sz w:val="18"/>
          <w:szCs w:val="18"/>
          <w:lang w:val="en-GB" w:eastAsia="en-GB"/>
        </w:rPr>
        <w:t xml:space="preserve"> </w:t>
      </w:r>
      <w:proofErr w:type="spellStart"/>
      <w:r w:rsidRPr="0052307E">
        <w:rPr>
          <w:color w:val="000000"/>
          <w:sz w:val="18"/>
          <w:szCs w:val="18"/>
          <w:lang w:val="en-GB" w:eastAsia="en-GB"/>
        </w:rPr>
        <w:t>hizmetler</w:t>
      </w:r>
      <w:proofErr w:type="spellEnd"/>
      <w:r w:rsidRPr="0052307E">
        <w:rPr>
          <w:color w:val="000000"/>
          <w:sz w:val="18"/>
          <w:szCs w:val="18"/>
          <w:lang w:val="en-GB" w:eastAsia="en-GB"/>
        </w:rPr>
        <w:t xml:space="preserve"> </w:t>
      </w:r>
      <w:proofErr w:type="spellStart"/>
      <w:r w:rsidRPr="0052307E">
        <w:rPr>
          <w:color w:val="000000"/>
          <w:sz w:val="18"/>
          <w:szCs w:val="18"/>
          <w:lang w:val="en-GB" w:eastAsia="en-GB"/>
        </w:rPr>
        <w:t>ve</w:t>
      </w:r>
      <w:proofErr w:type="spellEnd"/>
      <w:r w:rsidRPr="0052307E">
        <w:rPr>
          <w:color w:val="000000"/>
          <w:sz w:val="18"/>
          <w:szCs w:val="18"/>
          <w:lang w:val="en-GB" w:eastAsia="en-GB"/>
        </w:rPr>
        <w:t xml:space="preserve"> </w:t>
      </w:r>
      <w:proofErr w:type="spellStart"/>
      <w:r w:rsidRPr="0052307E">
        <w:rPr>
          <w:color w:val="000000"/>
          <w:sz w:val="18"/>
          <w:szCs w:val="18"/>
          <w:lang w:val="en-GB" w:eastAsia="en-GB"/>
        </w:rPr>
        <w:t>kaynaştırmaya</w:t>
      </w:r>
      <w:proofErr w:type="spellEnd"/>
      <w:r w:rsidRPr="0052307E">
        <w:rPr>
          <w:color w:val="000000"/>
          <w:sz w:val="18"/>
          <w:szCs w:val="18"/>
          <w:lang w:val="en-GB" w:eastAsia="en-GB"/>
        </w:rPr>
        <w:t xml:space="preserve"> </w:t>
      </w:r>
      <w:proofErr w:type="spellStart"/>
      <w:r w:rsidRPr="0052307E">
        <w:rPr>
          <w:color w:val="000000"/>
          <w:sz w:val="18"/>
          <w:szCs w:val="18"/>
          <w:lang w:val="en-GB" w:eastAsia="en-GB"/>
        </w:rPr>
        <w:t>hazırlık</w:t>
      </w:r>
      <w:proofErr w:type="spellEnd"/>
      <w:r w:rsidRPr="0052307E">
        <w:rPr>
          <w:color w:val="000000"/>
          <w:sz w:val="18"/>
          <w:szCs w:val="18"/>
          <w:lang w:val="en-GB" w:eastAsia="en-GB"/>
        </w:rPr>
        <w:t xml:space="preserve"> </w:t>
      </w:r>
      <w:proofErr w:type="spellStart"/>
      <w:r w:rsidRPr="0052307E">
        <w:rPr>
          <w:color w:val="000000"/>
          <w:sz w:val="18"/>
          <w:szCs w:val="18"/>
          <w:lang w:val="en-GB" w:eastAsia="en-GB"/>
        </w:rPr>
        <w:t>etkinlikleri</w:t>
      </w:r>
      <w:proofErr w:type="spellEnd"/>
      <w:r w:rsidRPr="0052307E">
        <w:rPr>
          <w:color w:val="000000"/>
          <w:sz w:val="18"/>
          <w:szCs w:val="18"/>
          <w:lang w:val="en-GB" w:eastAsia="en-GB"/>
        </w:rPr>
        <w:t xml:space="preserve">,” </w:t>
      </w:r>
      <w:r w:rsidRPr="0052307E">
        <w:rPr>
          <w:i/>
          <w:color w:val="000000"/>
          <w:sz w:val="18"/>
          <w:szCs w:val="18"/>
          <w:lang w:val="en-GB" w:eastAsia="en-GB"/>
        </w:rPr>
        <w:t>Ankara University Faculty of Educational Sciences Journal of Special Education,</w:t>
      </w:r>
      <w:r w:rsidRPr="0052307E">
        <w:rPr>
          <w:color w:val="000000"/>
          <w:sz w:val="18"/>
          <w:szCs w:val="18"/>
          <w:lang w:val="en-GB" w:eastAsia="en-GB"/>
        </w:rPr>
        <w:t xml:space="preserve"> vol. 2, no. 4, pp. 35-45, 2000. </w:t>
      </w:r>
    </w:p>
    <w:p w14:paraId="7EB8C0A2" w14:textId="77777777" w:rsidR="0052307E" w:rsidRPr="0052307E" w:rsidRDefault="0052307E" w:rsidP="0052307E">
      <w:pPr>
        <w:numPr>
          <w:ilvl w:val="0"/>
          <w:numId w:val="17"/>
        </w:numPr>
        <w:ind w:left="426" w:hanging="426"/>
        <w:contextualSpacing/>
        <w:jc w:val="both"/>
        <w:rPr>
          <w:color w:val="000000"/>
          <w:sz w:val="18"/>
          <w:szCs w:val="18"/>
          <w:lang w:val="en-GB" w:eastAsia="en-GB"/>
        </w:rPr>
      </w:pPr>
      <w:r w:rsidRPr="0052307E">
        <w:rPr>
          <w:color w:val="000000"/>
          <w:sz w:val="18"/>
          <w:szCs w:val="18"/>
          <w:lang w:val="en-GB" w:eastAsia="en-GB"/>
        </w:rPr>
        <w:t xml:space="preserve">E. S. </w:t>
      </w:r>
      <w:proofErr w:type="spellStart"/>
      <w:r w:rsidRPr="0052307E">
        <w:rPr>
          <w:color w:val="000000"/>
          <w:sz w:val="18"/>
          <w:szCs w:val="18"/>
          <w:lang w:val="en-GB" w:eastAsia="en-GB"/>
        </w:rPr>
        <w:t>Batu</w:t>
      </w:r>
      <w:proofErr w:type="spellEnd"/>
      <w:r w:rsidRPr="0052307E">
        <w:rPr>
          <w:color w:val="000000"/>
          <w:sz w:val="18"/>
          <w:szCs w:val="18"/>
          <w:lang w:val="en-GB" w:eastAsia="en-GB"/>
        </w:rPr>
        <w:t xml:space="preserve"> and</w:t>
      </w:r>
      <w:r w:rsidRPr="0052307E">
        <w:rPr>
          <w:sz w:val="18"/>
          <w:szCs w:val="18"/>
          <w:lang w:eastAsia="en-GB"/>
        </w:rPr>
        <w:t xml:space="preserve"> </w:t>
      </w:r>
      <w:r w:rsidRPr="0052307E">
        <w:rPr>
          <w:color w:val="000000"/>
          <w:sz w:val="18"/>
          <w:szCs w:val="18"/>
          <w:lang w:val="en-GB" w:eastAsia="en-GB"/>
        </w:rPr>
        <w:t xml:space="preserve">G. </w:t>
      </w:r>
      <w:proofErr w:type="spellStart"/>
      <w:r w:rsidRPr="0052307E">
        <w:rPr>
          <w:color w:val="000000"/>
          <w:sz w:val="18"/>
          <w:szCs w:val="18"/>
          <w:lang w:val="en-GB" w:eastAsia="en-GB"/>
        </w:rPr>
        <w:t>Kırcaali-İftar</w:t>
      </w:r>
      <w:proofErr w:type="spellEnd"/>
      <w:r w:rsidRPr="0052307E">
        <w:rPr>
          <w:color w:val="000000"/>
          <w:sz w:val="18"/>
          <w:szCs w:val="18"/>
          <w:lang w:val="en-GB" w:eastAsia="en-GB"/>
        </w:rPr>
        <w:t>, “</w:t>
      </w:r>
      <w:proofErr w:type="spellStart"/>
      <w:r w:rsidRPr="0052307E">
        <w:rPr>
          <w:i/>
          <w:iCs/>
          <w:color w:val="000000"/>
          <w:sz w:val="18"/>
          <w:szCs w:val="18"/>
          <w:lang w:val="en-GB" w:eastAsia="en-GB"/>
        </w:rPr>
        <w:t>Kaynaştırma</w:t>
      </w:r>
      <w:proofErr w:type="spellEnd"/>
      <w:r w:rsidRPr="0052307E">
        <w:rPr>
          <w:i/>
          <w:iCs/>
          <w:color w:val="000000"/>
          <w:sz w:val="18"/>
          <w:szCs w:val="18"/>
          <w:lang w:val="en-GB" w:eastAsia="en-GB"/>
        </w:rPr>
        <w:t>,”</w:t>
      </w:r>
      <w:r w:rsidRPr="0052307E">
        <w:rPr>
          <w:color w:val="000000"/>
          <w:sz w:val="18"/>
          <w:szCs w:val="18"/>
          <w:lang w:val="en-GB" w:eastAsia="en-GB"/>
        </w:rPr>
        <w:t xml:space="preserve"> Ankara: </w:t>
      </w:r>
      <w:proofErr w:type="spellStart"/>
      <w:r w:rsidRPr="0052307E">
        <w:rPr>
          <w:color w:val="000000"/>
          <w:sz w:val="18"/>
          <w:szCs w:val="18"/>
          <w:lang w:val="en-GB" w:eastAsia="en-GB"/>
        </w:rPr>
        <w:t>Kök</w:t>
      </w:r>
      <w:proofErr w:type="spellEnd"/>
      <w:r w:rsidRPr="0052307E">
        <w:rPr>
          <w:color w:val="000000"/>
          <w:sz w:val="18"/>
          <w:szCs w:val="18"/>
          <w:lang w:val="en-GB" w:eastAsia="en-GB"/>
        </w:rPr>
        <w:t xml:space="preserve"> Publishing, 2011.</w:t>
      </w:r>
    </w:p>
    <w:p w14:paraId="10C304A9" w14:textId="77777777" w:rsidR="0052307E" w:rsidRPr="0052307E" w:rsidRDefault="0052307E" w:rsidP="0052307E">
      <w:pPr>
        <w:numPr>
          <w:ilvl w:val="0"/>
          <w:numId w:val="17"/>
        </w:numPr>
        <w:tabs>
          <w:tab w:val="left" w:pos="426"/>
        </w:tabs>
        <w:ind w:left="426" w:hanging="426"/>
        <w:jc w:val="both"/>
        <w:rPr>
          <w:noProof/>
          <w:sz w:val="18"/>
          <w:szCs w:val="18"/>
        </w:rPr>
      </w:pPr>
      <w:r w:rsidRPr="0052307E">
        <w:rPr>
          <w:color w:val="222222"/>
          <w:sz w:val="18"/>
          <w:szCs w:val="18"/>
          <w:shd w:val="clear" w:color="auto" w:fill="FFFFFF"/>
          <w:lang w:val="en-GB" w:eastAsia="en-GB"/>
        </w:rPr>
        <w:t xml:space="preserve">H. </w:t>
      </w:r>
      <w:proofErr w:type="spellStart"/>
      <w:r w:rsidRPr="0052307E">
        <w:rPr>
          <w:color w:val="222222"/>
          <w:sz w:val="18"/>
          <w:szCs w:val="18"/>
          <w:shd w:val="clear" w:color="auto" w:fill="FFFFFF"/>
          <w:lang w:val="en-GB" w:eastAsia="en-GB"/>
        </w:rPr>
        <w:t>Gürgür</w:t>
      </w:r>
      <w:proofErr w:type="spellEnd"/>
      <w:r w:rsidRPr="0052307E">
        <w:rPr>
          <w:color w:val="222222"/>
          <w:sz w:val="18"/>
          <w:szCs w:val="18"/>
          <w:shd w:val="clear" w:color="auto" w:fill="FFFFFF"/>
          <w:lang w:val="en-GB" w:eastAsia="en-GB"/>
        </w:rPr>
        <w:t xml:space="preserve">, D. </w:t>
      </w:r>
      <w:proofErr w:type="spellStart"/>
      <w:r w:rsidRPr="0052307E">
        <w:rPr>
          <w:color w:val="222222"/>
          <w:sz w:val="18"/>
          <w:szCs w:val="18"/>
          <w:shd w:val="clear" w:color="auto" w:fill="FFFFFF"/>
          <w:lang w:val="en-GB" w:eastAsia="en-GB"/>
        </w:rPr>
        <w:t>Büyükköse</w:t>
      </w:r>
      <w:proofErr w:type="spellEnd"/>
      <w:r w:rsidRPr="0052307E">
        <w:rPr>
          <w:color w:val="222222"/>
          <w:sz w:val="18"/>
          <w:szCs w:val="18"/>
          <w:shd w:val="clear" w:color="auto" w:fill="FFFFFF"/>
          <w:lang w:val="en-GB" w:eastAsia="en-GB"/>
        </w:rPr>
        <w:t xml:space="preserve"> and Ç. </w:t>
      </w:r>
      <w:proofErr w:type="spellStart"/>
      <w:r w:rsidRPr="0052307E">
        <w:rPr>
          <w:color w:val="222222"/>
          <w:sz w:val="18"/>
          <w:szCs w:val="18"/>
          <w:shd w:val="clear" w:color="auto" w:fill="FFFFFF"/>
          <w:lang w:val="en-GB" w:eastAsia="en-GB"/>
        </w:rPr>
        <w:t>Kol</w:t>
      </w:r>
      <w:proofErr w:type="spellEnd"/>
      <w:r w:rsidRPr="0052307E">
        <w:rPr>
          <w:color w:val="222222"/>
          <w:sz w:val="18"/>
          <w:szCs w:val="18"/>
          <w:shd w:val="clear" w:color="auto" w:fill="FFFFFF"/>
          <w:lang w:val="en-GB" w:eastAsia="en-GB"/>
        </w:rPr>
        <w:t>, “</w:t>
      </w:r>
      <w:proofErr w:type="spellStart"/>
      <w:r w:rsidRPr="0052307E">
        <w:rPr>
          <w:color w:val="222222"/>
          <w:sz w:val="18"/>
          <w:szCs w:val="18"/>
          <w:shd w:val="clear" w:color="auto" w:fill="FFFFFF"/>
          <w:lang w:val="en-GB" w:eastAsia="en-GB"/>
        </w:rPr>
        <w:t>Özel</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eğitim</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ve</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rehabilitasyon</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merkezlerinde</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işitme</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kayıplı</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öğrencilere</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sunulan</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destek</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hizmetler</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Öğretmen</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görüşleri</w:t>
      </w:r>
      <w:proofErr w:type="spellEnd"/>
      <w:r w:rsidRPr="0052307E">
        <w:rPr>
          <w:color w:val="222222"/>
          <w:sz w:val="18"/>
          <w:szCs w:val="18"/>
          <w:shd w:val="clear" w:color="auto" w:fill="FFFFFF"/>
          <w:lang w:val="en-GB" w:eastAsia="en-GB"/>
        </w:rPr>
        <w:t xml:space="preserve"> [Support services for students with hearing loss provided by special education and rehabilitation centres: Opinions of the teachers],” </w:t>
      </w:r>
      <w:r w:rsidRPr="0052307E">
        <w:rPr>
          <w:i/>
          <w:iCs/>
          <w:color w:val="222222"/>
          <w:sz w:val="18"/>
          <w:szCs w:val="18"/>
          <w:shd w:val="clear" w:color="auto" w:fill="FFFFFF"/>
          <w:lang w:val="en-GB" w:eastAsia="en-GB"/>
        </w:rPr>
        <w:t>Elementary Education Online</w:t>
      </w:r>
      <w:r w:rsidRPr="0052307E">
        <w:rPr>
          <w:color w:val="222222"/>
          <w:sz w:val="18"/>
          <w:szCs w:val="18"/>
          <w:shd w:val="clear" w:color="auto" w:fill="FFFFFF"/>
          <w:lang w:val="en-GB" w:eastAsia="en-GB"/>
        </w:rPr>
        <w:t xml:space="preserve">, vol. </w:t>
      </w:r>
      <w:r w:rsidRPr="0052307E">
        <w:rPr>
          <w:iCs/>
          <w:color w:val="222222"/>
          <w:sz w:val="18"/>
          <w:szCs w:val="18"/>
          <w:shd w:val="clear" w:color="auto" w:fill="FFFFFF"/>
          <w:lang w:val="en-GB" w:eastAsia="en-GB"/>
        </w:rPr>
        <w:t xml:space="preserve">15 no. </w:t>
      </w:r>
      <w:r w:rsidRPr="0052307E">
        <w:rPr>
          <w:color w:val="222222"/>
          <w:sz w:val="18"/>
          <w:szCs w:val="18"/>
          <w:shd w:val="clear" w:color="auto" w:fill="FFFFFF"/>
          <w:lang w:val="en-GB" w:eastAsia="en-GB"/>
        </w:rPr>
        <w:t xml:space="preserve">4, pp. </w:t>
      </w:r>
      <w:r w:rsidRPr="0052307E">
        <w:rPr>
          <w:sz w:val="18"/>
          <w:szCs w:val="18"/>
          <w:lang w:bidi="th-TH"/>
        </w:rPr>
        <w:t xml:space="preserve">1234-1253, </w:t>
      </w:r>
      <w:r w:rsidRPr="0052307E">
        <w:rPr>
          <w:color w:val="222222"/>
          <w:sz w:val="18"/>
          <w:szCs w:val="18"/>
          <w:shd w:val="clear" w:color="auto" w:fill="FFFFFF"/>
          <w:lang w:val="en-GB" w:eastAsia="en-GB"/>
        </w:rPr>
        <w:t xml:space="preserve">2016. </w:t>
      </w:r>
      <w:proofErr w:type="spellStart"/>
      <w:r w:rsidRPr="0052307E">
        <w:rPr>
          <w:sz w:val="18"/>
          <w:szCs w:val="18"/>
          <w:lang w:bidi="th-TH"/>
        </w:rPr>
        <w:t>doi:</w:t>
      </w:r>
      <w:hyperlink r:id="rId21" w:history="1">
        <w:r w:rsidRPr="0052307E">
          <w:rPr>
            <w:color w:val="0563C1"/>
            <w:sz w:val="18"/>
            <w:szCs w:val="18"/>
            <w:u w:val="single"/>
            <w:lang w:bidi="th-TH"/>
          </w:rPr>
          <w:t>http</w:t>
        </w:r>
        <w:proofErr w:type="spellEnd"/>
        <w:r w:rsidRPr="0052307E">
          <w:rPr>
            <w:color w:val="0563C1"/>
            <w:sz w:val="18"/>
            <w:szCs w:val="18"/>
            <w:u w:val="single"/>
            <w:lang w:bidi="th-TH"/>
          </w:rPr>
          <w:t>://dx.doi.org/10.17051/io.2016.32423</w:t>
        </w:r>
      </w:hyperlink>
    </w:p>
    <w:p w14:paraId="249679F9" w14:textId="77777777" w:rsidR="0052307E" w:rsidRPr="0052307E" w:rsidRDefault="0052307E" w:rsidP="0052307E">
      <w:pPr>
        <w:numPr>
          <w:ilvl w:val="0"/>
          <w:numId w:val="17"/>
        </w:numPr>
        <w:ind w:left="426" w:hanging="426"/>
        <w:contextualSpacing/>
        <w:jc w:val="both"/>
        <w:rPr>
          <w:color w:val="000000"/>
          <w:sz w:val="18"/>
          <w:szCs w:val="18"/>
          <w:lang w:val="en-GB" w:eastAsia="en-GB"/>
        </w:rPr>
      </w:pPr>
      <w:r w:rsidRPr="0052307E">
        <w:rPr>
          <w:color w:val="222222"/>
          <w:sz w:val="18"/>
          <w:szCs w:val="18"/>
          <w:shd w:val="clear" w:color="auto" w:fill="FFFFFF"/>
          <w:lang w:val="en-GB" w:eastAsia="en-GB"/>
        </w:rPr>
        <w:t xml:space="preserve">A. </w:t>
      </w:r>
      <w:proofErr w:type="spellStart"/>
      <w:r w:rsidRPr="0052307E">
        <w:rPr>
          <w:color w:val="222222"/>
          <w:sz w:val="18"/>
          <w:szCs w:val="18"/>
          <w:shd w:val="clear" w:color="auto" w:fill="FFFFFF"/>
          <w:lang w:val="en-GB" w:eastAsia="en-GB"/>
        </w:rPr>
        <w:t>Sığırtmaç</w:t>
      </w:r>
      <w:proofErr w:type="spellEnd"/>
      <w:r w:rsidRPr="0052307E">
        <w:rPr>
          <w:color w:val="222222"/>
          <w:sz w:val="18"/>
          <w:szCs w:val="18"/>
          <w:shd w:val="clear" w:color="auto" w:fill="FFFFFF"/>
          <w:lang w:val="en-GB" w:eastAsia="en-GB"/>
        </w:rPr>
        <w:t xml:space="preserve"> and H. </w:t>
      </w:r>
      <w:proofErr w:type="spellStart"/>
      <w:r w:rsidRPr="0052307E">
        <w:rPr>
          <w:color w:val="222222"/>
          <w:sz w:val="18"/>
          <w:szCs w:val="18"/>
          <w:shd w:val="clear" w:color="auto" w:fill="FFFFFF"/>
          <w:lang w:val="en-GB" w:eastAsia="en-GB"/>
        </w:rPr>
        <w:t>Çulhaoğlu</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İmrak</w:t>
      </w:r>
      <w:proofErr w:type="spellEnd"/>
      <w:r w:rsidRPr="0052307E">
        <w:rPr>
          <w:color w:val="222222"/>
          <w:sz w:val="18"/>
          <w:szCs w:val="18"/>
          <w:shd w:val="clear" w:color="auto" w:fill="FFFFFF"/>
          <w:lang w:val="en-GB" w:eastAsia="en-GB"/>
        </w:rPr>
        <w:t>, “</w:t>
      </w:r>
      <w:proofErr w:type="spellStart"/>
      <w:r w:rsidRPr="0052307E">
        <w:rPr>
          <w:color w:val="222222"/>
          <w:sz w:val="18"/>
          <w:szCs w:val="18"/>
          <w:shd w:val="clear" w:color="auto" w:fill="FFFFFF"/>
          <w:lang w:val="en-GB" w:eastAsia="en-GB"/>
        </w:rPr>
        <w:t>Kaynaştırma</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uygulanan</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okulöncesi</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sınıflarında</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akran</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ilişkilerinin</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incelenmesi</w:t>
      </w:r>
      <w:proofErr w:type="spellEnd"/>
      <w:r w:rsidRPr="0052307E">
        <w:rPr>
          <w:color w:val="222222"/>
          <w:sz w:val="18"/>
          <w:szCs w:val="18"/>
          <w:shd w:val="clear" w:color="auto" w:fill="FFFFFF"/>
          <w:lang w:val="en-GB" w:eastAsia="en-GB"/>
        </w:rPr>
        <w:t xml:space="preserve">,” </w:t>
      </w:r>
      <w:r w:rsidRPr="0052307E">
        <w:rPr>
          <w:i/>
          <w:color w:val="222222"/>
          <w:sz w:val="18"/>
          <w:szCs w:val="18"/>
          <w:shd w:val="clear" w:color="auto" w:fill="FFFFFF"/>
          <w:lang w:val="en-GB" w:eastAsia="en-GB"/>
        </w:rPr>
        <w:t>I</w:t>
      </w:r>
      <w:r w:rsidRPr="0052307E">
        <w:rPr>
          <w:i/>
          <w:sz w:val="18"/>
          <w:szCs w:val="18"/>
          <w:shd w:val="clear" w:color="auto" w:fill="FFFFFF"/>
          <w:lang w:val="en-GB" w:eastAsia="en-GB"/>
        </w:rPr>
        <w:t xml:space="preserve">nternational Journal of Early Childhood Special Education, </w:t>
      </w:r>
      <w:r w:rsidRPr="0052307E">
        <w:rPr>
          <w:sz w:val="18"/>
          <w:szCs w:val="18"/>
          <w:shd w:val="clear" w:color="auto" w:fill="FFFFFF"/>
          <w:lang w:val="en-GB" w:eastAsia="en-GB"/>
        </w:rPr>
        <w:t xml:space="preserve">vol. </w:t>
      </w:r>
      <w:r w:rsidRPr="0052307E">
        <w:rPr>
          <w:color w:val="222222"/>
          <w:sz w:val="18"/>
          <w:szCs w:val="18"/>
          <w:shd w:val="clear" w:color="auto" w:fill="FFFFFF"/>
          <w:lang w:val="en-GB" w:eastAsia="en-GB"/>
        </w:rPr>
        <w:t>3, no. 1, pp. 38-65, 2011.</w:t>
      </w:r>
    </w:p>
    <w:p w14:paraId="3BD2103C" w14:textId="77777777" w:rsidR="0052307E" w:rsidRPr="0052307E" w:rsidRDefault="0052307E" w:rsidP="0052307E">
      <w:pPr>
        <w:numPr>
          <w:ilvl w:val="0"/>
          <w:numId w:val="17"/>
        </w:numPr>
        <w:autoSpaceDE w:val="0"/>
        <w:autoSpaceDN w:val="0"/>
        <w:adjustRightInd w:val="0"/>
        <w:ind w:left="426" w:hanging="426"/>
        <w:contextualSpacing/>
        <w:jc w:val="both"/>
        <w:rPr>
          <w:sz w:val="18"/>
          <w:szCs w:val="18"/>
          <w:lang w:val="tr-TR"/>
        </w:rPr>
      </w:pPr>
      <w:r w:rsidRPr="0052307E">
        <w:rPr>
          <w:sz w:val="18"/>
          <w:szCs w:val="18"/>
          <w:lang w:val="tr-TR"/>
        </w:rPr>
        <w:t>B. Sucuoğlu and H. Bakkaloğlu, “</w:t>
      </w:r>
      <w:r w:rsidRPr="0052307E">
        <w:rPr>
          <w:i/>
          <w:sz w:val="18"/>
          <w:szCs w:val="18"/>
          <w:lang w:val="tr-TR"/>
        </w:rPr>
        <w:t>Okul öncesinde kaynaştırma,”</w:t>
      </w:r>
      <w:r w:rsidRPr="0052307E">
        <w:rPr>
          <w:sz w:val="18"/>
          <w:szCs w:val="18"/>
          <w:lang w:val="tr-TR"/>
        </w:rPr>
        <w:t xml:space="preserve"> Ankara: Kök Publishing, 2016. </w:t>
      </w:r>
    </w:p>
    <w:p w14:paraId="04C5B248" w14:textId="77777777" w:rsidR="0052307E" w:rsidRPr="0052307E" w:rsidRDefault="0052307E" w:rsidP="0052307E">
      <w:pPr>
        <w:numPr>
          <w:ilvl w:val="0"/>
          <w:numId w:val="17"/>
        </w:numPr>
        <w:tabs>
          <w:tab w:val="left" w:pos="426"/>
        </w:tabs>
        <w:ind w:left="426" w:hanging="426"/>
        <w:jc w:val="both"/>
        <w:rPr>
          <w:noProof/>
          <w:sz w:val="18"/>
          <w:szCs w:val="18"/>
        </w:rPr>
      </w:pPr>
      <w:r w:rsidRPr="0052307E">
        <w:rPr>
          <w:color w:val="222222"/>
          <w:sz w:val="18"/>
          <w:szCs w:val="18"/>
          <w:shd w:val="clear" w:color="auto" w:fill="FFFFFF"/>
          <w:lang w:val="en-GB" w:eastAsia="en-GB"/>
        </w:rPr>
        <w:t xml:space="preserve">Z. </w:t>
      </w:r>
      <w:proofErr w:type="spellStart"/>
      <w:r w:rsidRPr="0052307E">
        <w:rPr>
          <w:color w:val="222222"/>
          <w:sz w:val="18"/>
          <w:szCs w:val="18"/>
          <w:shd w:val="clear" w:color="auto" w:fill="FFFFFF"/>
          <w:lang w:val="en-GB" w:eastAsia="en-GB"/>
        </w:rPr>
        <w:t>Karataş</w:t>
      </w:r>
      <w:proofErr w:type="spellEnd"/>
      <w:r w:rsidRPr="0052307E">
        <w:rPr>
          <w:color w:val="222222"/>
          <w:sz w:val="18"/>
          <w:szCs w:val="18"/>
          <w:shd w:val="clear" w:color="auto" w:fill="FFFFFF"/>
          <w:lang w:val="en-GB" w:eastAsia="en-GB"/>
        </w:rPr>
        <w:t xml:space="preserve"> and E. </w:t>
      </w:r>
      <w:proofErr w:type="spellStart"/>
      <w:r w:rsidRPr="0052307E">
        <w:rPr>
          <w:color w:val="222222"/>
          <w:sz w:val="18"/>
          <w:szCs w:val="18"/>
          <w:shd w:val="clear" w:color="auto" w:fill="FFFFFF"/>
          <w:lang w:val="en-GB" w:eastAsia="en-GB"/>
        </w:rPr>
        <w:t>Arslan</w:t>
      </w:r>
      <w:proofErr w:type="spellEnd"/>
      <w:r w:rsidRPr="0052307E">
        <w:rPr>
          <w:color w:val="222222"/>
          <w:sz w:val="18"/>
          <w:szCs w:val="18"/>
          <w:shd w:val="clear" w:color="auto" w:fill="FFFFFF"/>
          <w:lang w:val="en-GB" w:eastAsia="en-GB"/>
        </w:rPr>
        <w:t>, “</w:t>
      </w:r>
      <w:proofErr w:type="spellStart"/>
      <w:r w:rsidRPr="0052307E">
        <w:rPr>
          <w:color w:val="222222"/>
          <w:sz w:val="18"/>
          <w:szCs w:val="18"/>
          <w:shd w:val="clear" w:color="auto" w:fill="FFFFFF"/>
          <w:lang w:val="en-GB" w:eastAsia="en-GB"/>
        </w:rPr>
        <w:t>Ortaokulda</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öğrenim</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gören</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zihin</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engelli</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kaynaştırma</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öğrencilerinin</w:t>
      </w:r>
      <w:proofErr w:type="spellEnd"/>
      <w:r w:rsidRPr="0052307E">
        <w:rPr>
          <w:color w:val="222222"/>
          <w:sz w:val="18"/>
          <w:szCs w:val="18"/>
          <w:shd w:val="clear" w:color="auto" w:fill="FFFFFF"/>
          <w:lang w:val="en-GB" w:eastAsia="en-GB"/>
        </w:rPr>
        <w:t xml:space="preserve"> normal </w:t>
      </w:r>
      <w:proofErr w:type="spellStart"/>
      <w:r w:rsidRPr="0052307E">
        <w:rPr>
          <w:color w:val="222222"/>
          <w:sz w:val="18"/>
          <w:szCs w:val="18"/>
          <w:shd w:val="clear" w:color="auto" w:fill="FFFFFF"/>
          <w:lang w:val="en-GB" w:eastAsia="en-GB"/>
        </w:rPr>
        <w:t>gelişim</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gösteren</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akranları</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tarafından</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sosyal</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kabullerinin</w:t>
      </w:r>
      <w:proofErr w:type="spellEnd"/>
      <w:r w:rsidRPr="0052307E">
        <w:rPr>
          <w:color w:val="222222"/>
          <w:sz w:val="18"/>
          <w:szCs w:val="18"/>
          <w:shd w:val="clear" w:color="auto" w:fill="FFFFFF"/>
          <w:lang w:val="en-GB" w:eastAsia="en-GB"/>
        </w:rPr>
        <w:t xml:space="preserve"> </w:t>
      </w:r>
      <w:proofErr w:type="spellStart"/>
      <w:r w:rsidRPr="0052307E">
        <w:rPr>
          <w:color w:val="222222"/>
          <w:sz w:val="18"/>
          <w:szCs w:val="18"/>
          <w:shd w:val="clear" w:color="auto" w:fill="FFFFFF"/>
          <w:lang w:val="en-GB" w:eastAsia="en-GB"/>
        </w:rPr>
        <w:t>incelenmesi</w:t>
      </w:r>
      <w:proofErr w:type="spellEnd"/>
      <w:r w:rsidRPr="0052307E">
        <w:rPr>
          <w:color w:val="222222"/>
          <w:sz w:val="18"/>
          <w:szCs w:val="18"/>
          <w:shd w:val="clear" w:color="auto" w:fill="FFFFFF"/>
          <w:lang w:val="en-GB" w:eastAsia="en-GB"/>
        </w:rPr>
        <w:t xml:space="preserve"> [Investigation of secondary school mentally disabled inclusive students' social acceptance by mentally healthy peers],” </w:t>
      </w:r>
      <w:r w:rsidRPr="0052307E">
        <w:rPr>
          <w:i/>
          <w:iCs/>
          <w:color w:val="222222"/>
          <w:sz w:val="18"/>
          <w:szCs w:val="18"/>
          <w:shd w:val="clear" w:color="auto" w:fill="FFFFFF"/>
          <w:lang w:val="en-GB" w:eastAsia="en-GB"/>
        </w:rPr>
        <w:t xml:space="preserve">Mehmet </w:t>
      </w:r>
      <w:proofErr w:type="spellStart"/>
      <w:r w:rsidRPr="0052307E">
        <w:rPr>
          <w:i/>
          <w:iCs/>
          <w:color w:val="222222"/>
          <w:sz w:val="18"/>
          <w:szCs w:val="18"/>
          <w:shd w:val="clear" w:color="auto" w:fill="FFFFFF"/>
          <w:lang w:val="en-GB" w:eastAsia="en-GB"/>
        </w:rPr>
        <w:t>Akif</w:t>
      </w:r>
      <w:proofErr w:type="spellEnd"/>
      <w:r w:rsidRPr="0052307E">
        <w:rPr>
          <w:i/>
          <w:iCs/>
          <w:color w:val="222222"/>
          <w:sz w:val="18"/>
          <w:szCs w:val="18"/>
          <w:shd w:val="clear" w:color="auto" w:fill="FFFFFF"/>
          <w:lang w:val="en-GB" w:eastAsia="en-GB"/>
        </w:rPr>
        <w:t xml:space="preserve"> </w:t>
      </w:r>
      <w:proofErr w:type="spellStart"/>
      <w:r w:rsidRPr="0052307E">
        <w:rPr>
          <w:i/>
          <w:iCs/>
          <w:color w:val="222222"/>
          <w:sz w:val="18"/>
          <w:szCs w:val="18"/>
          <w:shd w:val="clear" w:color="auto" w:fill="FFFFFF"/>
          <w:lang w:val="en-GB" w:eastAsia="en-GB"/>
        </w:rPr>
        <w:t>Ersoy</w:t>
      </w:r>
      <w:proofErr w:type="spellEnd"/>
      <w:r w:rsidRPr="0052307E">
        <w:rPr>
          <w:i/>
          <w:iCs/>
          <w:color w:val="222222"/>
          <w:sz w:val="18"/>
          <w:szCs w:val="18"/>
          <w:shd w:val="clear" w:color="auto" w:fill="FFFFFF"/>
          <w:lang w:val="en-GB" w:eastAsia="en-GB"/>
        </w:rPr>
        <w:t xml:space="preserve"> University Journal of Education Faculty</w:t>
      </w:r>
      <w:r w:rsidRPr="0052307E">
        <w:rPr>
          <w:color w:val="222222"/>
          <w:sz w:val="18"/>
          <w:szCs w:val="18"/>
          <w:shd w:val="clear" w:color="auto" w:fill="FFFFFF"/>
          <w:lang w:val="en-GB" w:eastAsia="en-GB"/>
        </w:rPr>
        <w:t>, vol. 48, pp. 495-513, 2018.</w:t>
      </w:r>
    </w:p>
    <w:p w14:paraId="2F551786" w14:textId="77777777" w:rsidR="0052307E" w:rsidRPr="0052307E" w:rsidRDefault="0052307E" w:rsidP="0052307E">
      <w:pPr>
        <w:numPr>
          <w:ilvl w:val="0"/>
          <w:numId w:val="17"/>
        </w:numPr>
        <w:ind w:left="426" w:hanging="426"/>
        <w:contextualSpacing/>
        <w:jc w:val="both"/>
        <w:rPr>
          <w:color w:val="000000"/>
          <w:sz w:val="18"/>
          <w:szCs w:val="18"/>
          <w:lang w:val="en-GB" w:eastAsia="en-GB"/>
        </w:rPr>
      </w:pPr>
      <w:r w:rsidRPr="0052307E">
        <w:rPr>
          <w:color w:val="000000"/>
          <w:sz w:val="18"/>
          <w:szCs w:val="18"/>
          <w:lang w:val="en-GB" w:eastAsia="en-GB"/>
        </w:rPr>
        <w:t xml:space="preserve">M. </w:t>
      </w:r>
      <w:proofErr w:type="spellStart"/>
      <w:r w:rsidRPr="0052307E">
        <w:rPr>
          <w:color w:val="000000"/>
          <w:sz w:val="18"/>
          <w:szCs w:val="18"/>
          <w:lang w:val="en-GB" w:eastAsia="en-GB"/>
        </w:rPr>
        <w:t>Ayral</w:t>
      </w:r>
      <w:proofErr w:type="spellEnd"/>
      <w:r w:rsidRPr="0052307E">
        <w:rPr>
          <w:color w:val="000000"/>
          <w:sz w:val="18"/>
          <w:szCs w:val="18"/>
          <w:lang w:val="en-GB" w:eastAsia="en-GB"/>
        </w:rPr>
        <w:t xml:space="preserve">, Ş. </w:t>
      </w:r>
      <w:proofErr w:type="spellStart"/>
      <w:r w:rsidRPr="0052307E">
        <w:rPr>
          <w:color w:val="000000"/>
          <w:sz w:val="18"/>
          <w:szCs w:val="18"/>
          <w:lang w:val="en-GB" w:eastAsia="en-GB"/>
        </w:rPr>
        <w:t>Özcan</w:t>
      </w:r>
      <w:proofErr w:type="spellEnd"/>
      <w:r w:rsidRPr="0052307E">
        <w:rPr>
          <w:color w:val="000000"/>
          <w:sz w:val="18"/>
          <w:szCs w:val="18"/>
          <w:lang w:val="en-GB" w:eastAsia="en-GB"/>
        </w:rPr>
        <w:t xml:space="preserve">, R. Can, A. </w:t>
      </w:r>
      <w:proofErr w:type="spellStart"/>
      <w:r w:rsidRPr="0052307E">
        <w:rPr>
          <w:color w:val="000000"/>
          <w:sz w:val="18"/>
          <w:szCs w:val="18"/>
          <w:lang w:val="en-GB" w:eastAsia="en-GB"/>
        </w:rPr>
        <w:t>Ünlü</w:t>
      </w:r>
      <w:proofErr w:type="spellEnd"/>
      <w:r w:rsidRPr="0052307E">
        <w:rPr>
          <w:color w:val="000000"/>
          <w:sz w:val="18"/>
          <w:szCs w:val="18"/>
          <w:lang w:val="en-GB" w:eastAsia="en-GB"/>
        </w:rPr>
        <w:t xml:space="preserve">, H. </w:t>
      </w:r>
      <w:proofErr w:type="spellStart"/>
      <w:r w:rsidRPr="0052307E">
        <w:rPr>
          <w:color w:val="000000"/>
          <w:sz w:val="18"/>
          <w:szCs w:val="18"/>
          <w:lang w:val="en-GB" w:eastAsia="en-GB"/>
        </w:rPr>
        <w:t>Bedel</w:t>
      </w:r>
      <w:proofErr w:type="spellEnd"/>
      <w:r w:rsidRPr="0052307E">
        <w:rPr>
          <w:color w:val="000000"/>
          <w:sz w:val="18"/>
          <w:szCs w:val="18"/>
          <w:lang w:val="en-GB" w:eastAsia="en-GB"/>
        </w:rPr>
        <w:t xml:space="preserve">, G. </w:t>
      </w:r>
      <w:proofErr w:type="spellStart"/>
      <w:r w:rsidRPr="0052307E">
        <w:rPr>
          <w:color w:val="000000"/>
          <w:sz w:val="18"/>
          <w:szCs w:val="18"/>
          <w:lang w:val="en-GB" w:eastAsia="en-GB"/>
        </w:rPr>
        <w:t>Şengün</w:t>
      </w:r>
      <w:proofErr w:type="spellEnd"/>
      <w:r w:rsidRPr="0052307E">
        <w:rPr>
          <w:color w:val="000000"/>
          <w:sz w:val="18"/>
          <w:szCs w:val="18"/>
          <w:lang w:val="en-GB" w:eastAsia="en-GB"/>
        </w:rPr>
        <w:t>, Ş.</w:t>
      </w:r>
      <w:r w:rsidRPr="0052307E">
        <w:rPr>
          <w:sz w:val="18"/>
          <w:szCs w:val="18"/>
          <w:lang w:eastAsia="en-GB"/>
        </w:rPr>
        <w:t xml:space="preserve"> </w:t>
      </w:r>
      <w:proofErr w:type="spellStart"/>
      <w:r w:rsidRPr="0052307E">
        <w:rPr>
          <w:color w:val="000000"/>
          <w:sz w:val="18"/>
          <w:szCs w:val="18"/>
          <w:lang w:val="en-GB" w:eastAsia="en-GB"/>
        </w:rPr>
        <w:t>Demirhan</w:t>
      </w:r>
      <w:proofErr w:type="spellEnd"/>
      <w:r w:rsidRPr="0052307E">
        <w:rPr>
          <w:color w:val="000000"/>
          <w:sz w:val="18"/>
          <w:szCs w:val="18"/>
          <w:lang w:val="en-GB" w:eastAsia="en-GB"/>
        </w:rPr>
        <w:t xml:space="preserve"> and K. </w:t>
      </w:r>
      <w:proofErr w:type="spellStart"/>
      <w:r w:rsidRPr="0052307E">
        <w:rPr>
          <w:color w:val="000000"/>
          <w:sz w:val="18"/>
          <w:szCs w:val="18"/>
          <w:lang w:val="en-GB" w:eastAsia="en-GB"/>
        </w:rPr>
        <w:t>Çağlar</w:t>
      </w:r>
      <w:proofErr w:type="spellEnd"/>
      <w:r w:rsidRPr="0052307E">
        <w:rPr>
          <w:color w:val="000000"/>
          <w:sz w:val="18"/>
          <w:szCs w:val="18"/>
          <w:lang w:val="en-GB" w:eastAsia="en-GB"/>
        </w:rPr>
        <w:t>, “</w:t>
      </w:r>
      <w:proofErr w:type="spellStart"/>
      <w:r w:rsidRPr="0052307E">
        <w:rPr>
          <w:color w:val="000000"/>
          <w:sz w:val="18"/>
          <w:szCs w:val="18"/>
          <w:lang w:val="en-GB" w:eastAsia="en-GB"/>
        </w:rPr>
        <w:t>Kaynaştırma</w:t>
      </w:r>
      <w:proofErr w:type="spellEnd"/>
      <w:r w:rsidRPr="0052307E">
        <w:rPr>
          <w:color w:val="000000"/>
          <w:sz w:val="18"/>
          <w:szCs w:val="18"/>
          <w:lang w:val="en-GB" w:eastAsia="en-GB"/>
        </w:rPr>
        <w:t xml:space="preserve"> </w:t>
      </w:r>
      <w:proofErr w:type="spellStart"/>
      <w:r w:rsidRPr="0052307E">
        <w:rPr>
          <w:color w:val="000000"/>
          <w:sz w:val="18"/>
          <w:szCs w:val="18"/>
          <w:lang w:val="en-GB" w:eastAsia="en-GB"/>
        </w:rPr>
        <w:t>öğrencilerinin</w:t>
      </w:r>
      <w:proofErr w:type="spellEnd"/>
      <w:r w:rsidRPr="0052307E">
        <w:rPr>
          <w:color w:val="000000"/>
          <w:sz w:val="18"/>
          <w:szCs w:val="18"/>
          <w:lang w:val="en-GB" w:eastAsia="en-GB"/>
        </w:rPr>
        <w:t xml:space="preserve"> </w:t>
      </w:r>
      <w:proofErr w:type="spellStart"/>
      <w:r w:rsidRPr="0052307E">
        <w:rPr>
          <w:color w:val="000000"/>
          <w:sz w:val="18"/>
          <w:szCs w:val="18"/>
          <w:lang w:val="en-GB" w:eastAsia="en-GB"/>
        </w:rPr>
        <w:t>sosyal</w:t>
      </w:r>
      <w:proofErr w:type="spellEnd"/>
      <w:r w:rsidRPr="0052307E">
        <w:rPr>
          <w:color w:val="000000"/>
          <w:sz w:val="18"/>
          <w:szCs w:val="18"/>
          <w:lang w:val="en-GB" w:eastAsia="en-GB"/>
        </w:rPr>
        <w:t xml:space="preserve"> </w:t>
      </w:r>
      <w:proofErr w:type="spellStart"/>
      <w:r w:rsidRPr="0052307E">
        <w:rPr>
          <w:color w:val="000000"/>
          <w:sz w:val="18"/>
          <w:szCs w:val="18"/>
          <w:lang w:val="en-GB" w:eastAsia="en-GB"/>
        </w:rPr>
        <w:t>kabul</w:t>
      </w:r>
      <w:proofErr w:type="spellEnd"/>
      <w:r w:rsidRPr="0052307E">
        <w:rPr>
          <w:color w:val="000000"/>
          <w:sz w:val="18"/>
          <w:szCs w:val="18"/>
          <w:lang w:val="en-GB" w:eastAsia="en-GB"/>
        </w:rPr>
        <w:t xml:space="preserve"> </w:t>
      </w:r>
      <w:proofErr w:type="spellStart"/>
      <w:r w:rsidRPr="0052307E">
        <w:rPr>
          <w:color w:val="000000"/>
          <w:sz w:val="18"/>
          <w:szCs w:val="18"/>
          <w:lang w:val="en-GB" w:eastAsia="en-GB"/>
        </w:rPr>
        <w:t>düzeyleri</w:t>
      </w:r>
      <w:proofErr w:type="spellEnd"/>
      <w:r w:rsidRPr="0052307E">
        <w:rPr>
          <w:color w:val="000000"/>
          <w:sz w:val="18"/>
          <w:szCs w:val="18"/>
          <w:lang w:val="en-GB" w:eastAsia="en-GB"/>
        </w:rPr>
        <w:t xml:space="preserve">,” </w:t>
      </w:r>
      <w:r w:rsidRPr="0052307E">
        <w:rPr>
          <w:i/>
          <w:color w:val="000000"/>
          <w:sz w:val="18"/>
          <w:szCs w:val="18"/>
          <w:lang w:val="en-GB" w:eastAsia="en-GB"/>
        </w:rPr>
        <w:t xml:space="preserve">ELMIS </w:t>
      </w:r>
      <w:proofErr w:type="spellStart"/>
      <w:r w:rsidRPr="0052307E">
        <w:rPr>
          <w:i/>
          <w:color w:val="000000"/>
          <w:sz w:val="18"/>
          <w:szCs w:val="18"/>
          <w:lang w:val="en-GB" w:eastAsia="en-GB"/>
        </w:rPr>
        <w:t>Uluslararası</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Özel</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Eğitim</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Kongresi</w:t>
      </w:r>
      <w:proofErr w:type="spellEnd"/>
      <w:r w:rsidRPr="0052307E">
        <w:rPr>
          <w:i/>
          <w:color w:val="000000"/>
          <w:sz w:val="18"/>
          <w:szCs w:val="18"/>
          <w:lang w:val="en-GB" w:eastAsia="en-GB"/>
        </w:rPr>
        <w:t>,</w:t>
      </w:r>
      <w:r w:rsidRPr="0052307E">
        <w:rPr>
          <w:color w:val="000000"/>
          <w:sz w:val="18"/>
          <w:szCs w:val="18"/>
          <w:lang w:val="en-GB" w:eastAsia="en-GB"/>
        </w:rPr>
        <w:t xml:space="preserve"> 19-21 </w:t>
      </w:r>
      <w:proofErr w:type="spellStart"/>
      <w:r w:rsidRPr="0052307E">
        <w:rPr>
          <w:color w:val="000000"/>
          <w:sz w:val="18"/>
          <w:szCs w:val="18"/>
          <w:lang w:val="en-GB" w:eastAsia="en-GB"/>
        </w:rPr>
        <w:t>Haziran</w:t>
      </w:r>
      <w:proofErr w:type="spellEnd"/>
      <w:r w:rsidRPr="0052307E">
        <w:rPr>
          <w:color w:val="000000"/>
          <w:sz w:val="18"/>
          <w:szCs w:val="18"/>
          <w:lang w:val="en-GB" w:eastAsia="en-GB"/>
        </w:rPr>
        <w:t xml:space="preserve">, </w:t>
      </w:r>
      <w:proofErr w:type="spellStart"/>
      <w:r w:rsidRPr="0052307E">
        <w:rPr>
          <w:color w:val="000000"/>
          <w:sz w:val="18"/>
          <w:szCs w:val="18"/>
          <w:lang w:val="en-GB" w:eastAsia="en-GB"/>
        </w:rPr>
        <w:t>Akşehir</w:t>
      </w:r>
      <w:proofErr w:type="spellEnd"/>
      <w:r w:rsidRPr="0052307E">
        <w:rPr>
          <w:color w:val="000000"/>
          <w:sz w:val="18"/>
          <w:szCs w:val="18"/>
          <w:lang w:val="en-GB" w:eastAsia="en-GB"/>
        </w:rPr>
        <w:t>, 2013.</w:t>
      </w:r>
    </w:p>
    <w:p w14:paraId="6E743F53" w14:textId="77777777" w:rsidR="0052307E" w:rsidRPr="0052307E" w:rsidRDefault="0052307E" w:rsidP="0052307E">
      <w:pPr>
        <w:numPr>
          <w:ilvl w:val="0"/>
          <w:numId w:val="17"/>
        </w:numPr>
        <w:ind w:left="426" w:hanging="426"/>
        <w:contextualSpacing/>
        <w:jc w:val="both"/>
        <w:rPr>
          <w:color w:val="000000"/>
          <w:sz w:val="18"/>
          <w:szCs w:val="18"/>
          <w:lang w:val="en-GB" w:eastAsia="en-GB"/>
        </w:rPr>
      </w:pPr>
      <w:r w:rsidRPr="0052307E">
        <w:rPr>
          <w:color w:val="000000"/>
          <w:sz w:val="18"/>
          <w:szCs w:val="18"/>
          <w:lang w:val="en-GB" w:eastAsia="en-GB"/>
        </w:rPr>
        <w:t xml:space="preserve">B. </w:t>
      </w:r>
      <w:proofErr w:type="spellStart"/>
      <w:r w:rsidRPr="0052307E">
        <w:rPr>
          <w:color w:val="000000"/>
          <w:sz w:val="18"/>
          <w:szCs w:val="18"/>
          <w:lang w:val="en-GB" w:eastAsia="en-GB"/>
        </w:rPr>
        <w:t>Sucuoğlu</w:t>
      </w:r>
      <w:proofErr w:type="spellEnd"/>
      <w:r w:rsidRPr="0052307E">
        <w:rPr>
          <w:color w:val="000000"/>
          <w:sz w:val="18"/>
          <w:szCs w:val="18"/>
          <w:lang w:val="en-GB" w:eastAsia="en-GB"/>
        </w:rPr>
        <w:t xml:space="preserve"> and O. </w:t>
      </w:r>
      <w:proofErr w:type="spellStart"/>
      <w:r w:rsidRPr="0052307E">
        <w:rPr>
          <w:color w:val="000000"/>
          <w:sz w:val="18"/>
          <w:szCs w:val="18"/>
          <w:lang w:val="en-GB" w:eastAsia="en-GB"/>
        </w:rPr>
        <w:t>Özokçu</w:t>
      </w:r>
      <w:proofErr w:type="spellEnd"/>
      <w:r w:rsidRPr="0052307E">
        <w:rPr>
          <w:color w:val="000000"/>
          <w:sz w:val="18"/>
          <w:szCs w:val="18"/>
          <w:lang w:val="en-GB" w:eastAsia="en-GB"/>
        </w:rPr>
        <w:t>, “</w:t>
      </w:r>
      <w:proofErr w:type="spellStart"/>
      <w:r w:rsidRPr="0052307E">
        <w:rPr>
          <w:color w:val="000000"/>
          <w:sz w:val="18"/>
          <w:szCs w:val="18"/>
          <w:lang w:val="en-GB" w:eastAsia="en-GB"/>
        </w:rPr>
        <w:t>Kaynaştırma</w:t>
      </w:r>
      <w:proofErr w:type="spellEnd"/>
      <w:r w:rsidRPr="0052307E">
        <w:rPr>
          <w:color w:val="000000"/>
          <w:sz w:val="18"/>
          <w:szCs w:val="18"/>
          <w:lang w:val="en-GB" w:eastAsia="en-GB"/>
        </w:rPr>
        <w:t xml:space="preserve"> </w:t>
      </w:r>
      <w:proofErr w:type="spellStart"/>
      <w:r w:rsidRPr="0052307E">
        <w:rPr>
          <w:color w:val="000000"/>
          <w:sz w:val="18"/>
          <w:szCs w:val="18"/>
          <w:lang w:val="en-GB" w:eastAsia="en-GB"/>
        </w:rPr>
        <w:t>öğrencilerinin</w:t>
      </w:r>
      <w:proofErr w:type="spellEnd"/>
      <w:r w:rsidRPr="0052307E">
        <w:rPr>
          <w:color w:val="000000"/>
          <w:sz w:val="18"/>
          <w:szCs w:val="18"/>
          <w:lang w:val="en-GB" w:eastAsia="en-GB"/>
        </w:rPr>
        <w:t xml:space="preserve"> </w:t>
      </w:r>
      <w:proofErr w:type="spellStart"/>
      <w:r w:rsidRPr="0052307E">
        <w:rPr>
          <w:color w:val="000000"/>
          <w:sz w:val="18"/>
          <w:szCs w:val="18"/>
          <w:lang w:val="en-GB" w:eastAsia="en-GB"/>
        </w:rPr>
        <w:t>sosyal</w:t>
      </w:r>
      <w:proofErr w:type="spellEnd"/>
      <w:r w:rsidRPr="0052307E">
        <w:rPr>
          <w:color w:val="000000"/>
          <w:sz w:val="18"/>
          <w:szCs w:val="18"/>
          <w:lang w:val="en-GB" w:eastAsia="en-GB"/>
        </w:rPr>
        <w:t xml:space="preserve"> </w:t>
      </w:r>
      <w:proofErr w:type="spellStart"/>
      <w:r w:rsidRPr="0052307E">
        <w:rPr>
          <w:color w:val="000000"/>
          <w:sz w:val="18"/>
          <w:szCs w:val="18"/>
          <w:lang w:val="en-GB" w:eastAsia="en-GB"/>
        </w:rPr>
        <w:t>becerilerinin</w:t>
      </w:r>
      <w:proofErr w:type="spellEnd"/>
      <w:r w:rsidRPr="0052307E">
        <w:rPr>
          <w:color w:val="000000"/>
          <w:sz w:val="18"/>
          <w:szCs w:val="18"/>
          <w:lang w:val="en-GB" w:eastAsia="en-GB"/>
        </w:rPr>
        <w:t xml:space="preserve"> </w:t>
      </w:r>
      <w:proofErr w:type="spellStart"/>
      <w:r w:rsidRPr="0052307E">
        <w:rPr>
          <w:color w:val="000000"/>
          <w:sz w:val="18"/>
          <w:szCs w:val="18"/>
          <w:lang w:val="en-GB" w:eastAsia="en-GB"/>
        </w:rPr>
        <w:t>değerlendirilmesi</w:t>
      </w:r>
      <w:proofErr w:type="spellEnd"/>
      <w:r w:rsidRPr="0052307E">
        <w:rPr>
          <w:color w:val="000000"/>
          <w:sz w:val="18"/>
          <w:szCs w:val="18"/>
          <w:lang w:val="en-GB" w:eastAsia="en-GB"/>
        </w:rPr>
        <w:t xml:space="preserve">,” </w:t>
      </w:r>
      <w:r w:rsidRPr="0052307E">
        <w:rPr>
          <w:i/>
          <w:color w:val="000000"/>
          <w:sz w:val="18"/>
          <w:szCs w:val="18"/>
          <w:lang w:val="en-GB" w:eastAsia="en-GB"/>
        </w:rPr>
        <w:t>Ankara University Faculty of Educational Sciences Journal of Special Education</w:t>
      </w:r>
      <w:r w:rsidRPr="0052307E">
        <w:rPr>
          <w:color w:val="000000"/>
          <w:sz w:val="18"/>
          <w:szCs w:val="18"/>
          <w:lang w:val="en-GB" w:eastAsia="en-GB"/>
        </w:rPr>
        <w:t>, vol. 6</w:t>
      </w:r>
      <w:r w:rsidRPr="0052307E">
        <w:rPr>
          <w:i/>
          <w:color w:val="000000"/>
          <w:sz w:val="18"/>
          <w:szCs w:val="18"/>
          <w:lang w:val="en-GB" w:eastAsia="en-GB"/>
        </w:rPr>
        <w:t xml:space="preserve">, no. </w:t>
      </w:r>
      <w:r w:rsidRPr="0052307E">
        <w:rPr>
          <w:color w:val="000000"/>
          <w:sz w:val="18"/>
          <w:szCs w:val="18"/>
          <w:lang w:val="en-GB" w:eastAsia="en-GB"/>
        </w:rPr>
        <w:t>1, pp. 41-57, 2005.</w:t>
      </w:r>
    </w:p>
    <w:p w14:paraId="7CAE5693" w14:textId="77777777" w:rsidR="0052307E" w:rsidRPr="0052307E" w:rsidRDefault="0052307E" w:rsidP="0052307E">
      <w:pPr>
        <w:numPr>
          <w:ilvl w:val="0"/>
          <w:numId w:val="17"/>
        </w:numPr>
        <w:ind w:left="426" w:hanging="426"/>
        <w:contextualSpacing/>
        <w:jc w:val="both"/>
        <w:rPr>
          <w:color w:val="000000"/>
          <w:sz w:val="18"/>
          <w:szCs w:val="18"/>
          <w:lang w:val="en-GB" w:eastAsia="en-GB"/>
        </w:rPr>
      </w:pPr>
      <w:r w:rsidRPr="0052307E">
        <w:rPr>
          <w:sz w:val="18"/>
          <w:szCs w:val="18"/>
          <w:lang w:eastAsia="en-GB"/>
        </w:rPr>
        <w:t xml:space="preserve">K. </w:t>
      </w:r>
      <w:proofErr w:type="spellStart"/>
      <w:r w:rsidRPr="0052307E">
        <w:rPr>
          <w:sz w:val="18"/>
          <w:szCs w:val="18"/>
          <w:lang w:eastAsia="en-GB"/>
        </w:rPr>
        <w:t>Petry</w:t>
      </w:r>
      <w:proofErr w:type="spellEnd"/>
      <w:r w:rsidRPr="0052307E">
        <w:rPr>
          <w:sz w:val="18"/>
          <w:szCs w:val="18"/>
          <w:lang w:eastAsia="en-GB"/>
        </w:rPr>
        <w:t>, “</w:t>
      </w:r>
      <w:r w:rsidRPr="0052307E">
        <w:rPr>
          <w:bCs/>
          <w:sz w:val="18"/>
          <w:szCs w:val="18"/>
          <w:lang w:eastAsia="en-GB"/>
        </w:rPr>
        <w:t xml:space="preserve">The Relationship between class attitudes towards peers with a disability and peer acceptance, friendships and peer interactions of students with a disability in regular secondary schools,” </w:t>
      </w:r>
      <w:r w:rsidRPr="0052307E">
        <w:rPr>
          <w:bCs/>
          <w:i/>
          <w:sz w:val="18"/>
          <w:szCs w:val="18"/>
          <w:lang w:eastAsia="en-GB"/>
        </w:rPr>
        <w:t>European Journal of Special Needs Education,</w:t>
      </w:r>
      <w:r w:rsidRPr="0052307E">
        <w:rPr>
          <w:b/>
          <w:bCs/>
          <w:i/>
          <w:sz w:val="18"/>
          <w:szCs w:val="18"/>
          <w:lang w:eastAsia="en-GB"/>
        </w:rPr>
        <w:t xml:space="preserve"> </w:t>
      </w:r>
      <w:r w:rsidRPr="0052307E">
        <w:rPr>
          <w:bCs/>
          <w:sz w:val="18"/>
          <w:szCs w:val="18"/>
          <w:lang w:eastAsia="en-GB"/>
        </w:rPr>
        <w:t xml:space="preserve">vol. 33, no. 2, pp. 254-268, </w:t>
      </w:r>
      <w:r w:rsidRPr="0052307E">
        <w:rPr>
          <w:sz w:val="18"/>
          <w:szCs w:val="18"/>
          <w:lang w:eastAsia="en-GB"/>
        </w:rPr>
        <w:t>2018</w:t>
      </w:r>
      <w:r w:rsidRPr="0052307E">
        <w:rPr>
          <w:bCs/>
          <w:sz w:val="18"/>
          <w:szCs w:val="18"/>
          <w:lang w:eastAsia="en-GB"/>
        </w:rPr>
        <w:t>.</w:t>
      </w:r>
    </w:p>
    <w:p w14:paraId="473C3652" w14:textId="77777777" w:rsidR="0052307E" w:rsidRPr="0052307E" w:rsidRDefault="0052307E" w:rsidP="0052307E">
      <w:pPr>
        <w:numPr>
          <w:ilvl w:val="0"/>
          <w:numId w:val="17"/>
        </w:numPr>
        <w:ind w:left="426" w:hanging="426"/>
        <w:contextualSpacing/>
        <w:jc w:val="both"/>
        <w:rPr>
          <w:color w:val="000000"/>
          <w:sz w:val="18"/>
          <w:szCs w:val="18"/>
          <w:lang w:val="en-GB" w:eastAsia="en-GB"/>
        </w:rPr>
      </w:pPr>
      <w:r w:rsidRPr="0052307E">
        <w:rPr>
          <w:color w:val="000000"/>
          <w:sz w:val="18"/>
          <w:szCs w:val="18"/>
          <w:lang w:val="en-GB" w:eastAsia="en-GB"/>
        </w:rPr>
        <w:t xml:space="preserve">M. </w:t>
      </w:r>
      <w:proofErr w:type="spellStart"/>
      <w:r w:rsidRPr="0052307E">
        <w:rPr>
          <w:color w:val="000000"/>
          <w:sz w:val="18"/>
          <w:szCs w:val="18"/>
          <w:lang w:val="en-GB" w:eastAsia="en-GB"/>
        </w:rPr>
        <w:t>Gürkan</w:t>
      </w:r>
      <w:proofErr w:type="spellEnd"/>
      <w:r w:rsidRPr="0052307E">
        <w:rPr>
          <w:color w:val="000000"/>
          <w:sz w:val="18"/>
          <w:szCs w:val="18"/>
          <w:lang w:val="en-GB" w:eastAsia="en-GB"/>
        </w:rPr>
        <w:t>, “</w:t>
      </w:r>
      <w:proofErr w:type="spellStart"/>
      <w:r w:rsidRPr="0052307E">
        <w:rPr>
          <w:i/>
          <w:color w:val="000000"/>
          <w:sz w:val="18"/>
          <w:szCs w:val="18"/>
          <w:lang w:val="en-GB" w:eastAsia="en-GB"/>
        </w:rPr>
        <w:t>Okullarımızda</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neden</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niçin</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nasıl</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kaynaştırma</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Yönetici</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öğretmen</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ve</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aile</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kılavuzu</w:t>
      </w:r>
      <w:proofErr w:type="spellEnd"/>
      <w:r w:rsidRPr="0052307E">
        <w:rPr>
          <w:i/>
          <w:color w:val="000000"/>
          <w:sz w:val="18"/>
          <w:szCs w:val="18"/>
          <w:lang w:val="en-GB" w:eastAsia="en-GB"/>
        </w:rPr>
        <w:t xml:space="preserve">,” </w:t>
      </w:r>
      <w:r w:rsidRPr="0052307E">
        <w:rPr>
          <w:color w:val="000000"/>
          <w:sz w:val="18"/>
          <w:szCs w:val="18"/>
          <w:lang w:val="en-GB" w:eastAsia="en-GB"/>
        </w:rPr>
        <w:t xml:space="preserve">Ankara: MEB </w:t>
      </w:r>
      <w:proofErr w:type="spellStart"/>
      <w:r w:rsidRPr="0052307E">
        <w:rPr>
          <w:color w:val="000000"/>
          <w:sz w:val="18"/>
          <w:szCs w:val="18"/>
          <w:lang w:val="en-GB" w:eastAsia="en-GB"/>
        </w:rPr>
        <w:t>Özel</w:t>
      </w:r>
      <w:proofErr w:type="spellEnd"/>
      <w:r w:rsidRPr="0052307E">
        <w:rPr>
          <w:color w:val="000000"/>
          <w:sz w:val="18"/>
          <w:szCs w:val="18"/>
          <w:lang w:val="en-GB" w:eastAsia="en-GB"/>
        </w:rPr>
        <w:t xml:space="preserve"> </w:t>
      </w:r>
      <w:proofErr w:type="spellStart"/>
      <w:r w:rsidRPr="0052307E">
        <w:rPr>
          <w:color w:val="000000"/>
          <w:sz w:val="18"/>
          <w:szCs w:val="18"/>
          <w:lang w:val="en-GB" w:eastAsia="en-GB"/>
        </w:rPr>
        <w:t>Eğitim</w:t>
      </w:r>
      <w:proofErr w:type="spellEnd"/>
      <w:r w:rsidRPr="0052307E">
        <w:rPr>
          <w:color w:val="000000"/>
          <w:sz w:val="18"/>
          <w:szCs w:val="18"/>
          <w:lang w:val="en-GB" w:eastAsia="en-GB"/>
        </w:rPr>
        <w:t xml:space="preserve"> </w:t>
      </w:r>
      <w:proofErr w:type="spellStart"/>
      <w:r w:rsidRPr="0052307E">
        <w:rPr>
          <w:color w:val="000000"/>
          <w:sz w:val="18"/>
          <w:szCs w:val="18"/>
          <w:lang w:val="en-GB" w:eastAsia="en-GB"/>
        </w:rPr>
        <w:t>Rehberlik</w:t>
      </w:r>
      <w:proofErr w:type="spellEnd"/>
      <w:r w:rsidRPr="0052307E">
        <w:rPr>
          <w:color w:val="000000"/>
          <w:sz w:val="18"/>
          <w:szCs w:val="18"/>
          <w:lang w:val="en-GB" w:eastAsia="en-GB"/>
        </w:rPr>
        <w:t xml:space="preserve"> </w:t>
      </w:r>
      <w:proofErr w:type="spellStart"/>
      <w:r w:rsidRPr="0052307E">
        <w:rPr>
          <w:color w:val="000000"/>
          <w:sz w:val="18"/>
          <w:szCs w:val="18"/>
          <w:lang w:val="en-GB" w:eastAsia="en-GB"/>
        </w:rPr>
        <w:t>ve</w:t>
      </w:r>
      <w:proofErr w:type="spellEnd"/>
      <w:r w:rsidRPr="0052307E">
        <w:rPr>
          <w:color w:val="000000"/>
          <w:sz w:val="18"/>
          <w:szCs w:val="18"/>
          <w:lang w:val="en-GB" w:eastAsia="en-GB"/>
        </w:rPr>
        <w:t xml:space="preserve"> </w:t>
      </w:r>
      <w:proofErr w:type="spellStart"/>
      <w:r w:rsidRPr="0052307E">
        <w:rPr>
          <w:color w:val="000000"/>
          <w:sz w:val="18"/>
          <w:szCs w:val="18"/>
          <w:lang w:val="en-GB" w:eastAsia="en-GB"/>
        </w:rPr>
        <w:t>Danışma</w:t>
      </w:r>
      <w:proofErr w:type="spellEnd"/>
      <w:r w:rsidRPr="0052307E">
        <w:rPr>
          <w:color w:val="000000"/>
          <w:sz w:val="18"/>
          <w:szCs w:val="18"/>
          <w:lang w:val="en-GB" w:eastAsia="en-GB"/>
        </w:rPr>
        <w:t xml:space="preserve"> </w:t>
      </w:r>
      <w:proofErr w:type="spellStart"/>
      <w:r w:rsidRPr="0052307E">
        <w:rPr>
          <w:color w:val="000000"/>
          <w:sz w:val="18"/>
          <w:szCs w:val="18"/>
          <w:lang w:val="en-GB" w:eastAsia="en-GB"/>
        </w:rPr>
        <w:t>Hizmetleri</w:t>
      </w:r>
      <w:proofErr w:type="spellEnd"/>
      <w:r w:rsidRPr="0052307E">
        <w:rPr>
          <w:color w:val="000000"/>
          <w:sz w:val="18"/>
          <w:szCs w:val="18"/>
          <w:lang w:val="en-GB" w:eastAsia="en-GB"/>
        </w:rPr>
        <w:t xml:space="preserve"> </w:t>
      </w:r>
      <w:proofErr w:type="spellStart"/>
      <w:r w:rsidRPr="0052307E">
        <w:rPr>
          <w:color w:val="000000"/>
          <w:sz w:val="18"/>
          <w:szCs w:val="18"/>
          <w:lang w:val="en-GB" w:eastAsia="en-GB"/>
        </w:rPr>
        <w:t>Genel</w:t>
      </w:r>
      <w:proofErr w:type="spellEnd"/>
      <w:r w:rsidRPr="0052307E">
        <w:rPr>
          <w:color w:val="000000"/>
          <w:sz w:val="18"/>
          <w:szCs w:val="18"/>
          <w:lang w:val="en-GB" w:eastAsia="en-GB"/>
        </w:rPr>
        <w:t xml:space="preserve"> </w:t>
      </w:r>
      <w:proofErr w:type="spellStart"/>
      <w:r w:rsidRPr="0052307E">
        <w:rPr>
          <w:color w:val="000000"/>
          <w:sz w:val="18"/>
          <w:szCs w:val="18"/>
          <w:lang w:val="en-GB" w:eastAsia="en-GB"/>
        </w:rPr>
        <w:t>Müdürlüğü</w:t>
      </w:r>
      <w:proofErr w:type="spellEnd"/>
      <w:r w:rsidRPr="0052307E">
        <w:rPr>
          <w:color w:val="000000"/>
          <w:sz w:val="18"/>
          <w:szCs w:val="18"/>
          <w:lang w:val="en-GB" w:eastAsia="en-GB"/>
        </w:rPr>
        <w:t>, 2010.</w:t>
      </w:r>
    </w:p>
    <w:p w14:paraId="6BFCB76F" w14:textId="77777777" w:rsidR="0052307E" w:rsidRPr="0052307E" w:rsidRDefault="0052307E" w:rsidP="0052307E">
      <w:pPr>
        <w:numPr>
          <w:ilvl w:val="0"/>
          <w:numId w:val="17"/>
        </w:numPr>
        <w:ind w:left="426" w:hanging="426"/>
        <w:contextualSpacing/>
        <w:jc w:val="both"/>
        <w:rPr>
          <w:color w:val="000000"/>
          <w:sz w:val="18"/>
          <w:szCs w:val="18"/>
          <w:lang w:val="en-GB" w:eastAsia="en-GB"/>
        </w:rPr>
      </w:pPr>
      <w:r w:rsidRPr="0052307E">
        <w:rPr>
          <w:color w:val="000000"/>
          <w:sz w:val="18"/>
          <w:szCs w:val="18"/>
          <w:lang w:val="en-GB" w:eastAsia="en-GB"/>
        </w:rPr>
        <w:t xml:space="preserve">H. </w:t>
      </w:r>
      <w:proofErr w:type="spellStart"/>
      <w:r w:rsidRPr="0052307E">
        <w:rPr>
          <w:color w:val="000000"/>
          <w:sz w:val="18"/>
          <w:szCs w:val="18"/>
          <w:lang w:val="en-GB" w:eastAsia="en-GB"/>
        </w:rPr>
        <w:t>Gülay</w:t>
      </w:r>
      <w:proofErr w:type="spellEnd"/>
      <w:r w:rsidRPr="0052307E">
        <w:rPr>
          <w:color w:val="000000"/>
          <w:sz w:val="18"/>
          <w:szCs w:val="18"/>
          <w:lang w:val="en-GB" w:eastAsia="en-GB"/>
        </w:rPr>
        <w:t>, “</w:t>
      </w:r>
      <w:r w:rsidRPr="0052307E">
        <w:rPr>
          <w:i/>
          <w:color w:val="000000"/>
          <w:sz w:val="18"/>
          <w:szCs w:val="18"/>
          <w:lang w:val="en-GB" w:eastAsia="en-GB"/>
        </w:rPr>
        <w:t xml:space="preserve">5-6 </w:t>
      </w:r>
      <w:proofErr w:type="spellStart"/>
      <w:r w:rsidRPr="0052307E">
        <w:rPr>
          <w:i/>
          <w:color w:val="000000"/>
          <w:sz w:val="18"/>
          <w:szCs w:val="18"/>
          <w:lang w:val="en-GB" w:eastAsia="en-GB"/>
        </w:rPr>
        <w:t>Yaş</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çocuklarına</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yönelik</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akran</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ilişkileri</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ölçeklerinin</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geçerlik</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güvenirlik</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çalışmaları</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ve</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akran</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ilişkilerinin</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çeşitli</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değişkenler</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açısından</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incelenmesi</w:t>
      </w:r>
      <w:proofErr w:type="spellEnd"/>
      <w:r w:rsidRPr="0052307E">
        <w:rPr>
          <w:i/>
          <w:color w:val="000000"/>
          <w:sz w:val="18"/>
          <w:szCs w:val="18"/>
          <w:lang w:val="en-GB" w:eastAsia="en-GB"/>
        </w:rPr>
        <w:t>.</w:t>
      </w:r>
      <w:r w:rsidRPr="0052307E">
        <w:rPr>
          <w:color w:val="000000"/>
          <w:sz w:val="18"/>
          <w:szCs w:val="18"/>
          <w:lang w:val="en-GB" w:eastAsia="en-GB"/>
        </w:rPr>
        <w:t xml:space="preserve"> [</w:t>
      </w:r>
      <w:proofErr w:type="spellStart"/>
      <w:r w:rsidRPr="0052307E">
        <w:rPr>
          <w:color w:val="000000"/>
          <w:sz w:val="18"/>
          <w:szCs w:val="18"/>
          <w:lang w:val="en-GB" w:eastAsia="en-GB"/>
        </w:rPr>
        <w:t>Standartization</w:t>
      </w:r>
      <w:proofErr w:type="spellEnd"/>
      <w:r w:rsidRPr="0052307E">
        <w:rPr>
          <w:color w:val="000000"/>
          <w:sz w:val="18"/>
          <w:szCs w:val="18"/>
          <w:lang w:val="en-GB" w:eastAsia="en-GB"/>
        </w:rPr>
        <w:t xml:space="preserve"> of a scale for measuring peer relations among 5-6 years old children and studying the relations between some familial variables and peer relations of children at this age],” (</w:t>
      </w:r>
      <w:r w:rsidRPr="0052307E">
        <w:rPr>
          <w:sz w:val="18"/>
          <w:szCs w:val="18"/>
          <w:lang w:bidi="th-TH"/>
        </w:rPr>
        <w:t xml:space="preserve">Unpublished Doctoral Dissertation). </w:t>
      </w:r>
      <w:r w:rsidRPr="0052307E">
        <w:rPr>
          <w:color w:val="000000"/>
          <w:sz w:val="18"/>
          <w:szCs w:val="18"/>
          <w:lang w:val="en-GB" w:eastAsia="en-GB"/>
        </w:rPr>
        <w:t>Marmara University, İstanbul. 2008.</w:t>
      </w:r>
    </w:p>
    <w:p w14:paraId="591620BF" w14:textId="77777777" w:rsidR="0052307E" w:rsidRPr="0052307E" w:rsidRDefault="0052307E" w:rsidP="0052307E">
      <w:pPr>
        <w:numPr>
          <w:ilvl w:val="0"/>
          <w:numId w:val="17"/>
        </w:numPr>
        <w:ind w:left="426" w:hanging="426"/>
        <w:contextualSpacing/>
        <w:jc w:val="both"/>
        <w:rPr>
          <w:color w:val="000000"/>
          <w:sz w:val="18"/>
          <w:szCs w:val="18"/>
          <w:lang w:val="en-GB" w:eastAsia="en-GB"/>
        </w:rPr>
      </w:pPr>
      <w:r w:rsidRPr="0052307E">
        <w:rPr>
          <w:color w:val="000000"/>
          <w:sz w:val="18"/>
          <w:szCs w:val="18"/>
          <w:lang w:val="en-GB" w:eastAsia="en-GB"/>
        </w:rPr>
        <w:t>E. Sarı, “</w:t>
      </w:r>
      <w:proofErr w:type="spellStart"/>
      <w:r w:rsidRPr="0052307E">
        <w:rPr>
          <w:i/>
          <w:color w:val="000000"/>
          <w:sz w:val="18"/>
          <w:szCs w:val="18"/>
          <w:lang w:val="en-GB" w:eastAsia="en-GB"/>
        </w:rPr>
        <w:t>Anasınıfına</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devam</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eden</w:t>
      </w:r>
      <w:proofErr w:type="spellEnd"/>
      <w:r w:rsidRPr="0052307E">
        <w:rPr>
          <w:i/>
          <w:color w:val="000000"/>
          <w:sz w:val="18"/>
          <w:szCs w:val="18"/>
          <w:lang w:val="en-GB" w:eastAsia="en-GB"/>
        </w:rPr>
        <w:t xml:space="preserve"> 5-6 </w:t>
      </w:r>
      <w:proofErr w:type="spellStart"/>
      <w:r w:rsidRPr="0052307E">
        <w:rPr>
          <w:i/>
          <w:color w:val="000000"/>
          <w:sz w:val="18"/>
          <w:szCs w:val="18"/>
          <w:lang w:val="en-GB" w:eastAsia="en-GB"/>
        </w:rPr>
        <w:t>yaş</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grubu</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çocukların</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annelerinin</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çocuk</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yetiştirme</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tutumlarının</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çocuğun</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sosyal</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uyum</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ve</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becerilerine</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etkisinin</w:t>
      </w:r>
      <w:proofErr w:type="spellEnd"/>
      <w:r w:rsidRPr="0052307E">
        <w:rPr>
          <w:i/>
          <w:color w:val="000000"/>
          <w:sz w:val="18"/>
          <w:szCs w:val="18"/>
          <w:lang w:val="en-GB" w:eastAsia="en-GB"/>
        </w:rPr>
        <w:t xml:space="preserve"> </w:t>
      </w:r>
      <w:proofErr w:type="spellStart"/>
      <w:r w:rsidRPr="0052307E">
        <w:rPr>
          <w:i/>
          <w:color w:val="000000"/>
          <w:sz w:val="18"/>
          <w:szCs w:val="18"/>
          <w:lang w:val="en-GB" w:eastAsia="en-GB"/>
        </w:rPr>
        <w:t>incelenmesi</w:t>
      </w:r>
      <w:proofErr w:type="spellEnd"/>
      <w:r w:rsidRPr="0052307E">
        <w:rPr>
          <w:i/>
          <w:color w:val="000000"/>
          <w:sz w:val="18"/>
          <w:szCs w:val="18"/>
          <w:lang w:val="en-GB" w:eastAsia="en-GB"/>
        </w:rPr>
        <w:t xml:space="preserve"> </w:t>
      </w:r>
      <w:r w:rsidRPr="0052307E">
        <w:rPr>
          <w:color w:val="000000"/>
          <w:sz w:val="18"/>
          <w:szCs w:val="18"/>
          <w:lang w:val="en-GB" w:eastAsia="en-GB"/>
        </w:rPr>
        <w:t xml:space="preserve">[An investigation of the effects of mothers child rearing attitudes on </w:t>
      </w:r>
      <w:proofErr w:type="spellStart"/>
      <w:r w:rsidRPr="0052307E">
        <w:rPr>
          <w:color w:val="000000"/>
          <w:sz w:val="18"/>
          <w:szCs w:val="18"/>
          <w:lang w:val="en-GB" w:eastAsia="en-GB"/>
        </w:rPr>
        <w:t>childs</w:t>
      </w:r>
      <w:proofErr w:type="spellEnd"/>
      <w:r w:rsidRPr="0052307E">
        <w:rPr>
          <w:color w:val="000000"/>
          <w:sz w:val="18"/>
          <w:szCs w:val="18"/>
          <w:lang w:val="en-GB" w:eastAsia="en-GB"/>
        </w:rPr>
        <w:t xml:space="preserve"> social cohesion and skills for 5-6 years old </w:t>
      </w:r>
      <w:proofErr w:type="spellStart"/>
      <w:r w:rsidRPr="0052307E">
        <w:rPr>
          <w:color w:val="000000"/>
          <w:sz w:val="18"/>
          <w:szCs w:val="18"/>
          <w:lang w:val="en-GB" w:eastAsia="en-GB"/>
        </w:rPr>
        <w:t>childs</w:t>
      </w:r>
      <w:proofErr w:type="spellEnd"/>
      <w:r w:rsidRPr="0052307E">
        <w:rPr>
          <w:color w:val="000000"/>
          <w:sz w:val="18"/>
          <w:szCs w:val="18"/>
          <w:lang w:val="en-GB" w:eastAsia="en-GB"/>
        </w:rPr>
        <w:t xml:space="preserve"> who attend kindergarten],” (</w:t>
      </w:r>
      <w:r w:rsidRPr="0052307E">
        <w:rPr>
          <w:sz w:val="18"/>
          <w:szCs w:val="18"/>
          <w:lang w:bidi="th-TH"/>
        </w:rPr>
        <w:t xml:space="preserve">Unpublished Master's Thesis). </w:t>
      </w:r>
      <w:proofErr w:type="spellStart"/>
      <w:r w:rsidRPr="0052307E">
        <w:rPr>
          <w:color w:val="000000"/>
          <w:sz w:val="18"/>
          <w:szCs w:val="18"/>
          <w:lang w:val="en-GB" w:eastAsia="en-GB"/>
        </w:rPr>
        <w:t>Gazi</w:t>
      </w:r>
      <w:proofErr w:type="spellEnd"/>
      <w:r w:rsidRPr="0052307E">
        <w:rPr>
          <w:color w:val="000000"/>
          <w:sz w:val="18"/>
          <w:szCs w:val="18"/>
          <w:lang w:val="en-GB" w:eastAsia="en-GB"/>
        </w:rPr>
        <w:t xml:space="preserve"> University, Ankara, 2007.</w:t>
      </w:r>
    </w:p>
    <w:p w14:paraId="40F3304E" w14:textId="77777777" w:rsidR="0052307E" w:rsidRPr="0052307E" w:rsidRDefault="0052307E" w:rsidP="0052307E">
      <w:pPr>
        <w:numPr>
          <w:ilvl w:val="0"/>
          <w:numId w:val="17"/>
        </w:numPr>
        <w:tabs>
          <w:tab w:val="left" w:pos="426"/>
        </w:tabs>
        <w:ind w:left="426" w:hanging="426"/>
        <w:jc w:val="both"/>
        <w:rPr>
          <w:color w:val="000000"/>
          <w:sz w:val="18"/>
          <w:szCs w:val="18"/>
        </w:rPr>
      </w:pPr>
      <w:r w:rsidRPr="0052307E">
        <w:rPr>
          <w:noProof/>
          <w:sz w:val="18"/>
          <w:szCs w:val="18"/>
        </w:rPr>
        <w:t>C. Aydoğan, “</w:t>
      </w:r>
      <w:r w:rsidRPr="0052307E">
        <w:rPr>
          <w:i/>
          <w:noProof/>
          <w:sz w:val="18"/>
          <w:szCs w:val="18"/>
        </w:rPr>
        <w:t>Farklı yaşam dönemlerindeki bireylerin zihinsel engelli bireylere ilişkin sosyal kabulleri</w:t>
      </w:r>
      <w:r w:rsidRPr="0052307E">
        <w:rPr>
          <w:noProof/>
          <w:sz w:val="18"/>
          <w:szCs w:val="18"/>
        </w:rPr>
        <w:t xml:space="preserve"> [Social acceptance of individuals in different life stages towards individuals with intellectual disabilities],” </w:t>
      </w:r>
      <w:r w:rsidRPr="0052307E">
        <w:rPr>
          <w:color w:val="000000"/>
          <w:sz w:val="18"/>
          <w:szCs w:val="18"/>
          <w:lang w:val="en-GB" w:eastAsia="en-GB"/>
        </w:rPr>
        <w:t>(</w:t>
      </w:r>
      <w:r w:rsidRPr="0052307E">
        <w:rPr>
          <w:sz w:val="18"/>
          <w:szCs w:val="18"/>
          <w:lang w:bidi="th-TH"/>
        </w:rPr>
        <w:t xml:space="preserve">Unpublished Master's Thesis). </w:t>
      </w:r>
      <w:proofErr w:type="spellStart"/>
      <w:r w:rsidRPr="0052307E">
        <w:rPr>
          <w:sz w:val="18"/>
          <w:szCs w:val="18"/>
          <w:lang w:bidi="th-TH"/>
        </w:rPr>
        <w:t>Yıldırım</w:t>
      </w:r>
      <w:proofErr w:type="spellEnd"/>
      <w:r w:rsidRPr="0052307E">
        <w:rPr>
          <w:sz w:val="18"/>
          <w:szCs w:val="18"/>
          <w:lang w:bidi="th-TH"/>
        </w:rPr>
        <w:t xml:space="preserve"> </w:t>
      </w:r>
      <w:proofErr w:type="spellStart"/>
      <w:r w:rsidRPr="0052307E">
        <w:rPr>
          <w:sz w:val="18"/>
          <w:szCs w:val="18"/>
          <w:lang w:bidi="th-TH"/>
        </w:rPr>
        <w:t>Beyazıt</w:t>
      </w:r>
      <w:proofErr w:type="spellEnd"/>
      <w:r w:rsidRPr="0052307E">
        <w:rPr>
          <w:color w:val="000000"/>
          <w:sz w:val="18"/>
          <w:szCs w:val="18"/>
          <w:lang w:val="en-GB" w:eastAsia="en-GB"/>
        </w:rPr>
        <w:t xml:space="preserve"> University, Ankara, 2017.</w:t>
      </w:r>
    </w:p>
    <w:p w14:paraId="4C90EFE9" w14:textId="4D23D12A" w:rsidR="0052307E" w:rsidRPr="0052307E" w:rsidRDefault="0052307E" w:rsidP="0052307E">
      <w:pPr>
        <w:numPr>
          <w:ilvl w:val="0"/>
          <w:numId w:val="17"/>
        </w:numPr>
        <w:ind w:left="426" w:hanging="426"/>
        <w:contextualSpacing/>
        <w:jc w:val="both"/>
        <w:rPr>
          <w:bCs/>
          <w:color w:val="000000"/>
          <w:sz w:val="18"/>
          <w:szCs w:val="18"/>
          <w:lang w:val="en-GB" w:eastAsia="en-GB"/>
        </w:rPr>
      </w:pPr>
      <w:proofErr w:type="spellStart"/>
      <w:r w:rsidRPr="0052307E">
        <w:rPr>
          <w:color w:val="000000"/>
          <w:sz w:val="18"/>
          <w:szCs w:val="18"/>
          <w:lang w:val="en-GB" w:eastAsia="en-GB"/>
        </w:rPr>
        <w:t>Boutot</w:t>
      </w:r>
      <w:proofErr w:type="spellEnd"/>
      <w:r w:rsidRPr="0052307E">
        <w:rPr>
          <w:color w:val="000000"/>
          <w:sz w:val="18"/>
          <w:szCs w:val="18"/>
          <w:lang w:val="en-GB" w:eastAsia="en-GB"/>
        </w:rPr>
        <w:t xml:space="preserve">, E. A. “Fitting in: Tips for promoting acceptance and friendships for students with autism spectrum disorders in inclusive classrooms,” </w:t>
      </w:r>
      <w:r w:rsidRPr="0052307E">
        <w:rPr>
          <w:i/>
          <w:iCs/>
          <w:color w:val="000000"/>
          <w:sz w:val="18"/>
          <w:szCs w:val="18"/>
          <w:lang w:val="en-GB" w:eastAsia="en-GB"/>
        </w:rPr>
        <w:t xml:space="preserve">Intervention in School and Clinic, </w:t>
      </w:r>
      <w:r w:rsidRPr="0052307E">
        <w:rPr>
          <w:iCs/>
          <w:color w:val="000000"/>
          <w:sz w:val="18"/>
          <w:szCs w:val="18"/>
          <w:lang w:val="en-GB" w:eastAsia="en-GB"/>
        </w:rPr>
        <w:t xml:space="preserve">vol. 42, no. </w:t>
      </w:r>
      <w:r w:rsidRPr="0052307E">
        <w:rPr>
          <w:color w:val="000000"/>
          <w:sz w:val="18"/>
          <w:szCs w:val="18"/>
          <w:lang w:val="en-GB" w:eastAsia="en-GB"/>
        </w:rPr>
        <w:t xml:space="preserve">3, pp. </w:t>
      </w:r>
      <w:r w:rsidRPr="0052307E">
        <w:rPr>
          <w:iCs/>
          <w:color w:val="000000"/>
          <w:sz w:val="18"/>
          <w:szCs w:val="18"/>
          <w:lang w:val="en-GB" w:eastAsia="en-GB"/>
        </w:rPr>
        <w:t xml:space="preserve">156-161, </w:t>
      </w:r>
      <w:r w:rsidRPr="0052307E">
        <w:rPr>
          <w:color w:val="000000"/>
          <w:sz w:val="18"/>
          <w:szCs w:val="18"/>
          <w:lang w:val="en-GB" w:eastAsia="en-GB"/>
        </w:rPr>
        <w:t>2007</w:t>
      </w:r>
      <w:r w:rsidR="0054204F">
        <w:rPr>
          <w:iCs/>
          <w:color w:val="000000"/>
          <w:sz w:val="18"/>
          <w:szCs w:val="18"/>
          <w:lang w:val="en-GB" w:eastAsia="en-GB"/>
        </w:rPr>
        <w:t xml:space="preserve">. </w:t>
      </w:r>
      <w:proofErr w:type="spellStart"/>
      <w:r w:rsidRPr="0052307E">
        <w:rPr>
          <w:iCs/>
          <w:color w:val="000000"/>
          <w:sz w:val="18"/>
          <w:szCs w:val="18"/>
          <w:lang w:val="en-GB" w:eastAsia="en-GB"/>
        </w:rPr>
        <w:t>doi</w:t>
      </w:r>
      <w:proofErr w:type="spellEnd"/>
      <w:r w:rsidRPr="0052307E">
        <w:rPr>
          <w:iCs/>
          <w:color w:val="000000"/>
          <w:sz w:val="18"/>
          <w:szCs w:val="18"/>
          <w:lang w:val="en-GB" w:eastAsia="en-GB"/>
        </w:rPr>
        <w:t>:</w:t>
      </w:r>
      <w:r w:rsidRPr="0052307E">
        <w:rPr>
          <w:sz w:val="18"/>
          <w:szCs w:val="18"/>
          <w:lang w:bidi="th-TH"/>
        </w:rPr>
        <w:t xml:space="preserve"> </w:t>
      </w:r>
      <w:hyperlink r:id="rId22" w:history="1">
        <w:r w:rsidRPr="0052307E">
          <w:rPr>
            <w:color w:val="006ACC"/>
            <w:sz w:val="18"/>
            <w:szCs w:val="18"/>
            <w:u w:val="single"/>
            <w:shd w:val="clear" w:color="auto" w:fill="FFFFFF"/>
            <w:lang w:bidi="th-TH"/>
          </w:rPr>
          <w:t>https://doi.org/10.1177/10534512070420030401</w:t>
        </w:r>
      </w:hyperlink>
    </w:p>
    <w:p w14:paraId="651853F9" w14:textId="77777777" w:rsidR="00231A19" w:rsidRDefault="00231A19" w:rsidP="00231A19">
      <w:pPr>
        <w:jc w:val="both"/>
        <w:rPr>
          <w:color w:val="000000"/>
          <w:sz w:val="18"/>
          <w:szCs w:val="18"/>
        </w:rPr>
      </w:pPr>
    </w:p>
    <w:p w14:paraId="715A6E84" w14:textId="77777777" w:rsidR="00231A19" w:rsidRDefault="00F33C08" w:rsidP="00231A19">
      <w:pPr>
        <w:rPr>
          <w:b/>
          <w:bCs/>
        </w:rPr>
      </w:pPr>
      <w:r>
        <w:rPr>
          <w:rStyle w:val="apple-style-span"/>
          <w:b/>
          <w:color w:val="000000"/>
          <w:lang w:val="pt-BR"/>
        </w:rPr>
        <w:t>BIOGRAPH</w:t>
      </w:r>
      <w:r w:rsidR="0058279C">
        <w:rPr>
          <w:rStyle w:val="apple-style-span"/>
          <w:b/>
          <w:color w:val="000000"/>
          <w:lang w:val="pt-BR"/>
        </w:rPr>
        <w:t>IES</w:t>
      </w:r>
      <w:r>
        <w:rPr>
          <w:rStyle w:val="apple-style-span"/>
          <w:b/>
          <w:color w:val="000000"/>
          <w:lang w:val="pt-BR"/>
        </w:rPr>
        <w:t xml:space="preserve"> OF AUTHORS </w:t>
      </w:r>
      <w:r>
        <w:rPr>
          <w:b/>
          <w:bCs/>
        </w:rPr>
        <w:t>(</w:t>
      </w:r>
      <w:r w:rsidR="00DC4D4A">
        <w:rPr>
          <w:b/>
          <w:bCs/>
        </w:rPr>
        <w:t>No border</w:t>
      </w:r>
      <w:r w:rsidR="00406310">
        <w:rPr>
          <w:b/>
          <w:bCs/>
        </w:rPr>
        <w:t xml:space="preserve">, </w:t>
      </w:r>
      <w:r>
        <w:rPr>
          <w:b/>
          <w:bCs/>
        </w:rPr>
        <w:t>10 PT)</w:t>
      </w:r>
    </w:p>
    <w:p w14:paraId="354EAFD8" w14:textId="77777777" w:rsidR="00231A19" w:rsidRDefault="00231A19"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231A19" w14:paraId="72517356" w14:textId="77777777" w:rsidTr="00EB0CAC">
        <w:trPr>
          <w:trHeight w:val="723"/>
        </w:trPr>
        <w:tc>
          <w:tcPr>
            <w:tcW w:w="1813" w:type="dxa"/>
          </w:tcPr>
          <w:p w14:paraId="26BCCEE8" w14:textId="77777777" w:rsidR="00231A19" w:rsidRPr="00231A19" w:rsidRDefault="00231A19" w:rsidP="00A47AD5">
            <w:pPr>
              <w:rPr>
                <w:color w:val="000000"/>
                <w:lang w:val="pt-BR"/>
              </w:rPr>
            </w:pPr>
          </w:p>
          <w:p w14:paraId="345A612A" w14:textId="77777777" w:rsidR="00231A19" w:rsidRPr="00231A19" w:rsidRDefault="00231A19" w:rsidP="00A47AD5">
            <w:pPr>
              <w:jc w:val="center"/>
              <w:rPr>
                <w:color w:val="000000"/>
                <w:lang w:val="pt-BR"/>
              </w:rPr>
            </w:pPr>
            <w:r w:rsidRPr="00231A19">
              <w:rPr>
                <w:color w:val="000000"/>
                <w:lang w:val="pt-BR"/>
              </w:rPr>
              <w:t xml:space="preserve">First author’s </w:t>
            </w:r>
          </w:p>
          <w:p w14:paraId="0A4E5BA8" w14:textId="77777777" w:rsidR="00231A19" w:rsidRPr="00231A19" w:rsidRDefault="00231A19" w:rsidP="00A47AD5">
            <w:pPr>
              <w:jc w:val="center"/>
              <w:rPr>
                <w:color w:val="000000"/>
                <w:lang w:val="pt-BR"/>
              </w:rPr>
            </w:pPr>
            <w:r w:rsidRPr="00231A19">
              <w:rPr>
                <w:color w:val="000000"/>
                <w:lang w:val="pt-BR"/>
              </w:rPr>
              <w:t>Photo (3x4cm)</w:t>
            </w:r>
          </w:p>
          <w:p w14:paraId="7B1EF5DF" w14:textId="77777777" w:rsidR="00231A19" w:rsidRPr="00231A19" w:rsidRDefault="00231A19" w:rsidP="00A47AD5">
            <w:pPr>
              <w:jc w:val="center"/>
              <w:rPr>
                <w:color w:val="000000"/>
                <w:lang w:val="pt-BR"/>
              </w:rPr>
            </w:pPr>
          </w:p>
        </w:tc>
        <w:tc>
          <w:tcPr>
            <w:tcW w:w="7226" w:type="dxa"/>
          </w:tcPr>
          <w:p w14:paraId="4F57B1EB" w14:textId="25E26666" w:rsidR="00A47AD5" w:rsidRPr="00231A19" w:rsidRDefault="00EB0CAC" w:rsidP="00EB0CAC">
            <w:pPr>
              <w:spacing w:after="160" w:line="259" w:lineRule="auto"/>
              <w:jc w:val="both"/>
              <w:rPr>
                <w:color w:val="000000"/>
                <w:lang w:val="pt-BR"/>
              </w:rPr>
            </w:pPr>
            <w:proofErr w:type="spellStart"/>
            <w:r w:rsidRPr="00EB0CAC">
              <w:rPr>
                <w:rFonts w:eastAsia="Calibri"/>
                <w:sz w:val="18"/>
                <w:szCs w:val="18"/>
                <w:lang w:val="en-GB"/>
              </w:rPr>
              <w:t>Buse</w:t>
            </w:r>
            <w:proofErr w:type="spellEnd"/>
            <w:r w:rsidRPr="00EB0CAC">
              <w:rPr>
                <w:rFonts w:eastAsia="Calibri"/>
                <w:sz w:val="18"/>
                <w:szCs w:val="18"/>
                <w:lang w:val="en-GB"/>
              </w:rPr>
              <w:t xml:space="preserve"> </w:t>
            </w:r>
            <w:proofErr w:type="spellStart"/>
            <w:r w:rsidRPr="00EB0CAC">
              <w:rPr>
                <w:rFonts w:eastAsia="Calibri"/>
                <w:sz w:val="18"/>
                <w:szCs w:val="18"/>
                <w:lang w:val="en-GB"/>
              </w:rPr>
              <w:t>Özlü</w:t>
            </w:r>
            <w:proofErr w:type="spellEnd"/>
            <w:r w:rsidRPr="00EB0CAC">
              <w:rPr>
                <w:rFonts w:eastAsia="Calibri"/>
                <w:sz w:val="18"/>
                <w:szCs w:val="18"/>
                <w:lang w:val="en-GB"/>
              </w:rPr>
              <w:t xml:space="preserve"> received her bachelor's degree in North Cyprus at European University of </w:t>
            </w:r>
            <w:proofErr w:type="spellStart"/>
            <w:r w:rsidRPr="00EB0CAC">
              <w:rPr>
                <w:rFonts w:eastAsia="Calibri"/>
                <w:sz w:val="18"/>
                <w:szCs w:val="18"/>
                <w:lang w:val="en-GB"/>
              </w:rPr>
              <w:t>Lefke</w:t>
            </w:r>
            <w:proofErr w:type="spellEnd"/>
            <w:r w:rsidRPr="00EB0CAC">
              <w:rPr>
                <w:rFonts w:eastAsia="Calibri"/>
                <w:sz w:val="18"/>
                <w:szCs w:val="18"/>
                <w:lang w:val="en-GB"/>
              </w:rPr>
              <w:t>, Guidance and Psychological Counselling Department. She completed her master's degrees in Guidance and Psychological Counselling Department. She is working as a teacher in Turkey.</w:t>
            </w:r>
          </w:p>
        </w:tc>
      </w:tr>
      <w:tr w:rsidR="00A47AD5" w14:paraId="73F09BD5" w14:textId="77777777" w:rsidTr="00F33C08">
        <w:tc>
          <w:tcPr>
            <w:tcW w:w="1813" w:type="dxa"/>
          </w:tcPr>
          <w:p w14:paraId="39C2AAD2" w14:textId="77777777" w:rsidR="00A47AD5" w:rsidRPr="00231A19" w:rsidRDefault="00A47AD5" w:rsidP="00A47AD5">
            <w:pPr>
              <w:rPr>
                <w:color w:val="000000"/>
                <w:lang w:val="pt-BR"/>
              </w:rPr>
            </w:pPr>
          </w:p>
        </w:tc>
        <w:tc>
          <w:tcPr>
            <w:tcW w:w="7226" w:type="dxa"/>
          </w:tcPr>
          <w:p w14:paraId="7C200870" w14:textId="77777777" w:rsidR="00A47AD5" w:rsidRPr="00231A19" w:rsidRDefault="00A47AD5" w:rsidP="00A47AD5">
            <w:pPr>
              <w:jc w:val="both"/>
              <w:rPr>
                <w:color w:val="000000"/>
                <w:sz w:val="18"/>
                <w:szCs w:val="18"/>
              </w:rPr>
            </w:pPr>
          </w:p>
        </w:tc>
      </w:tr>
      <w:tr w:rsidR="00231A19" w14:paraId="1C8FBCC3" w14:textId="77777777" w:rsidTr="00F33C08">
        <w:tc>
          <w:tcPr>
            <w:tcW w:w="1813" w:type="dxa"/>
          </w:tcPr>
          <w:p w14:paraId="709730FD" w14:textId="77777777" w:rsidR="00231A19" w:rsidRPr="00231A19" w:rsidRDefault="00231A19" w:rsidP="00A47AD5">
            <w:pPr>
              <w:rPr>
                <w:color w:val="000000"/>
                <w:lang w:val="pt-BR"/>
              </w:rPr>
            </w:pPr>
          </w:p>
          <w:p w14:paraId="733F486D" w14:textId="77777777" w:rsidR="00231A19" w:rsidRPr="00231A19" w:rsidRDefault="00231A19" w:rsidP="00A47AD5">
            <w:pPr>
              <w:jc w:val="center"/>
              <w:rPr>
                <w:color w:val="000000"/>
                <w:lang w:val="pt-BR"/>
              </w:rPr>
            </w:pPr>
            <w:r w:rsidRPr="00231A19">
              <w:rPr>
                <w:color w:val="000000"/>
                <w:lang w:val="pt-BR"/>
              </w:rPr>
              <w:t>Second author’s photo(3x4cm)</w:t>
            </w:r>
          </w:p>
          <w:p w14:paraId="5DCA7ACD" w14:textId="77777777" w:rsidR="00231A19" w:rsidRPr="00231A19" w:rsidRDefault="00231A19" w:rsidP="00A47AD5">
            <w:pPr>
              <w:jc w:val="center"/>
              <w:rPr>
                <w:color w:val="000000"/>
                <w:lang w:val="pt-BR"/>
              </w:rPr>
            </w:pPr>
          </w:p>
          <w:p w14:paraId="3BD5F865" w14:textId="77777777" w:rsidR="00231A19" w:rsidRPr="00231A19" w:rsidRDefault="00231A19" w:rsidP="00A47AD5">
            <w:pPr>
              <w:jc w:val="center"/>
              <w:rPr>
                <w:color w:val="000000"/>
                <w:lang w:val="pt-BR"/>
              </w:rPr>
            </w:pPr>
          </w:p>
        </w:tc>
        <w:tc>
          <w:tcPr>
            <w:tcW w:w="7226" w:type="dxa"/>
          </w:tcPr>
          <w:p w14:paraId="3EA00940" w14:textId="3A5F6A5F" w:rsidR="00A47AD5" w:rsidRPr="00EB0CAC" w:rsidRDefault="00A57F76" w:rsidP="00A57F76">
            <w:pPr>
              <w:jc w:val="both"/>
              <w:rPr>
                <w:color w:val="000000"/>
                <w:sz w:val="18"/>
                <w:szCs w:val="18"/>
                <w:lang w:val="pt-BR"/>
              </w:rPr>
            </w:pPr>
            <w:proofErr w:type="spellStart"/>
            <w:r w:rsidRPr="00A57F76">
              <w:rPr>
                <w:rFonts w:eastAsia="Calibri"/>
                <w:sz w:val="18"/>
                <w:szCs w:val="18"/>
                <w:lang w:val="en-GB"/>
              </w:rPr>
              <w:t>Dr.</w:t>
            </w:r>
            <w:proofErr w:type="spellEnd"/>
            <w:r w:rsidRPr="00A57F76">
              <w:rPr>
                <w:rFonts w:eastAsia="Calibri"/>
                <w:sz w:val="18"/>
                <w:szCs w:val="18"/>
                <w:lang w:val="en-GB"/>
              </w:rPr>
              <w:t xml:space="preserve"> </w:t>
            </w:r>
            <w:proofErr w:type="spellStart"/>
            <w:r w:rsidRPr="00A57F76">
              <w:rPr>
                <w:rFonts w:eastAsia="Calibri"/>
                <w:sz w:val="18"/>
                <w:szCs w:val="18"/>
                <w:lang w:val="en-GB"/>
              </w:rPr>
              <w:t>Nerguz</w:t>
            </w:r>
            <w:proofErr w:type="spellEnd"/>
            <w:r w:rsidRPr="00A57F76">
              <w:rPr>
                <w:rFonts w:eastAsia="Calibri"/>
                <w:sz w:val="18"/>
                <w:szCs w:val="18"/>
                <w:lang w:val="en-GB"/>
              </w:rPr>
              <w:t xml:space="preserve"> </w:t>
            </w:r>
            <w:proofErr w:type="spellStart"/>
            <w:r w:rsidRPr="00A57F76">
              <w:rPr>
                <w:rFonts w:eastAsia="Calibri"/>
                <w:sz w:val="18"/>
                <w:szCs w:val="18"/>
                <w:lang w:val="en-GB"/>
              </w:rPr>
              <w:t>Bulut</w:t>
            </w:r>
            <w:proofErr w:type="spellEnd"/>
            <w:r w:rsidRPr="00A57F76">
              <w:rPr>
                <w:rFonts w:eastAsia="Calibri"/>
                <w:sz w:val="18"/>
                <w:szCs w:val="18"/>
                <w:lang w:val="en-GB"/>
              </w:rPr>
              <w:t xml:space="preserve"> </w:t>
            </w:r>
            <w:proofErr w:type="spellStart"/>
            <w:r w:rsidRPr="00A57F76">
              <w:rPr>
                <w:rFonts w:eastAsia="Calibri"/>
                <w:sz w:val="18"/>
                <w:szCs w:val="18"/>
                <w:lang w:val="en-GB"/>
              </w:rPr>
              <w:t>Serin</w:t>
            </w:r>
            <w:proofErr w:type="spellEnd"/>
            <w:r w:rsidRPr="00A57F76">
              <w:rPr>
                <w:rFonts w:eastAsia="Calibri"/>
                <w:sz w:val="18"/>
                <w:szCs w:val="18"/>
                <w:lang w:val="en-GB"/>
              </w:rPr>
              <w:t xml:space="preserve"> works as a Professor at the European University of </w:t>
            </w:r>
            <w:proofErr w:type="spellStart"/>
            <w:r w:rsidRPr="00A57F76">
              <w:rPr>
                <w:rFonts w:eastAsia="Calibri"/>
                <w:sz w:val="18"/>
                <w:szCs w:val="18"/>
                <w:lang w:val="en-GB"/>
              </w:rPr>
              <w:t>Lefke</w:t>
            </w:r>
            <w:proofErr w:type="spellEnd"/>
            <w:r w:rsidRPr="00A57F76">
              <w:rPr>
                <w:rFonts w:eastAsia="Calibri"/>
                <w:sz w:val="18"/>
                <w:szCs w:val="18"/>
                <w:lang w:val="en-GB"/>
              </w:rPr>
              <w:t>, Faculty of Education, Department of Educational Sciences, Department of Counselling and Psychology (</w:t>
            </w:r>
            <w:r w:rsidRPr="00A57F76">
              <w:rPr>
                <w:rFonts w:eastAsia="Calibri"/>
                <w:sz w:val="18"/>
                <w:szCs w:val="18"/>
                <w:shd w:val="clear" w:color="auto" w:fill="FFFFFF"/>
                <w:lang w:val="tr-TR"/>
              </w:rPr>
              <w:t xml:space="preserve">Scopus h-index of 6 Google </w:t>
            </w:r>
            <w:r w:rsidR="0091727F">
              <w:rPr>
                <w:rFonts w:eastAsia="Calibri"/>
                <w:sz w:val="18"/>
                <w:szCs w:val="18"/>
                <w:shd w:val="clear" w:color="auto" w:fill="FFFFFF"/>
                <w:lang w:val="tr-TR"/>
              </w:rPr>
              <w:t>Scholar h-index of 28</w:t>
            </w:r>
            <w:r w:rsidRPr="00A57F76">
              <w:rPr>
                <w:rFonts w:eastAsia="Calibri"/>
                <w:sz w:val="18"/>
                <w:szCs w:val="18"/>
                <w:shd w:val="clear" w:color="auto" w:fill="FFFFFF"/>
                <w:lang w:val="tr-TR"/>
              </w:rPr>
              <w:t>)</w:t>
            </w:r>
            <w:r w:rsidRPr="00A57F76">
              <w:rPr>
                <w:rFonts w:eastAsia="Calibri"/>
                <w:sz w:val="18"/>
                <w:szCs w:val="18"/>
                <w:lang w:val="en-GB"/>
              </w:rPr>
              <w:t xml:space="preserve">. She lives in the region </w:t>
            </w:r>
            <w:proofErr w:type="spellStart"/>
            <w:r w:rsidRPr="00A57F76">
              <w:rPr>
                <w:rFonts w:eastAsia="Calibri"/>
                <w:sz w:val="18"/>
                <w:szCs w:val="18"/>
                <w:lang w:val="en-GB"/>
              </w:rPr>
              <w:t>Lefke</w:t>
            </w:r>
            <w:proofErr w:type="spellEnd"/>
            <w:r w:rsidRPr="00A57F76">
              <w:rPr>
                <w:rFonts w:eastAsia="Calibri"/>
                <w:sz w:val="18"/>
                <w:szCs w:val="18"/>
                <w:lang w:val="en-GB"/>
              </w:rPr>
              <w:t xml:space="preserve"> of Northern Cyprus. </w:t>
            </w:r>
            <w:proofErr w:type="spellStart"/>
            <w:r w:rsidRPr="00A57F76">
              <w:rPr>
                <w:rFonts w:eastAsia="Calibri"/>
                <w:sz w:val="18"/>
                <w:szCs w:val="18"/>
                <w:lang w:val="en-GB"/>
              </w:rPr>
              <w:t>Dr.</w:t>
            </w:r>
            <w:proofErr w:type="spellEnd"/>
            <w:r w:rsidRPr="00A57F76">
              <w:rPr>
                <w:rFonts w:eastAsia="Calibri"/>
                <w:sz w:val="18"/>
                <w:szCs w:val="18"/>
                <w:lang w:val="en-GB"/>
              </w:rPr>
              <w:t xml:space="preserve"> </w:t>
            </w:r>
            <w:proofErr w:type="spellStart"/>
            <w:r w:rsidRPr="00A57F76">
              <w:rPr>
                <w:rFonts w:eastAsia="Calibri"/>
                <w:sz w:val="18"/>
                <w:szCs w:val="18"/>
                <w:lang w:val="en-GB"/>
              </w:rPr>
              <w:t>Serin</w:t>
            </w:r>
            <w:proofErr w:type="spellEnd"/>
            <w:r w:rsidRPr="00A57F76">
              <w:rPr>
                <w:rFonts w:eastAsia="Calibri"/>
                <w:sz w:val="18"/>
                <w:szCs w:val="18"/>
                <w:lang w:val="en-GB"/>
              </w:rPr>
              <w:t xml:space="preserve"> received her bachelor's degree in Turkey at </w:t>
            </w:r>
            <w:proofErr w:type="spellStart"/>
            <w:r w:rsidRPr="00A57F76">
              <w:rPr>
                <w:rFonts w:eastAsia="Calibri"/>
                <w:sz w:val="18"/>
                <w:szCs w:val="18"/>
                <w:lang w:val="en-GB"/>
              </w:rPr>
              <w:t>Hacettepe</w:t>
            </w:r>
            <w:proofErr w:type="spellEnd"/>
            <w:r w:rsidRPr="00A57F76">
              <w:rPr>
                <w:rFonts w:eastAsia="Calibri"/>
                <w:sz w:val="18"/>
                <w:szCs w:val="18"/>
                <w:lang w:val="en-GB"/>
              </w:rPr>
              <w:t xml:space="preserve"> University psychology department. She completed her master's and doctorate degrees in Psychological Services in Education. She also served as vice dean, head of the Department of Educational Sciences, and head of the Guidance and Psychological Counselling Department. </w:t>
            </w:r>
            <w:proofErr w:type="spellStart"/>
            <w:r w:rsidRPr="00A57F76">
              <w:rPr>
                <w:rFonts w:eastAsia="Calibri"/>
                <w:sz w:val="18"/>
                <w:szCs w:val="18"/>
                <w:lang w:val="en-GB"/>
              </w:rPr>
              <w:t>Dr.</w:t>
            </w:r>
            <w:proofErr w:type="spellEnd"/>
            <w:r w:rsidRPr="00A57F76">
              <w:rPr>
                <w:rFonts w:eastAsia="Calibri"/>
                <w:sz w:val="18"/>
                <w:szCs w:val="18"/>
                <w:lang w:val="en-GB"/>
              </w:rPr>
              <w:t xml:space="preserve"> </w:t>
            </w:r>
            <w:proofErr w:type="spellStart"/>
            <w:r w:rsidRPr="00A57F76">
              <w:rPr>
                <w:rFonts w:eastAsia="Calibri"/>
                <w:sz w:val="18"/>
                <w:szCs w:val="18"/>
                <w:lang w:val="en-GB"/>
              </w:rPr>
              <w:t>Serin</w:t>
            </w:r>
            <w:proofErr w:type="spellEnd"/>
            <w:r w:rsidRPr="00A57F76">
              <w:rPr>
                <w:rFonts w:eastAsia="Calibri"/>
                <w:sz w:val="18"/>
                <w:szCs w:val="18"/>
                <w:lang w:val="en-GB"/>
              </w:rPr>
              <w:t xml:space="preserve">, together with graduate and doctoral students, has worked on cognitive behavioural therapy, depression, anxiety, anger management, stress management, problem solving abilities, social acceptance, cyberbullying, </w:t>
            </w:r>
            <w:proofErr w:type="gramStart"/>
            <w:r w:rsidRPr="00A57F76">
              <w:rPr>
                <w:rFonts w:eastAsia="Calibri"/>
                <w:sz w:val="18"/>
                <w:szCs w:val="18"/>
                <w:lang w:val="en-GB"/>
              </w:rPr>
              <w:t>attachment</w:t>
            </w:r>
            <w:proofErr w:type="gramEnd"/>
            <w:r w:rsidRPr="00A57F76">
              <w:rPr>
                <w:rFonts w:eastAsia="Calibri"/>
                <w:sz w:val="18"/>
                <w:szCs w:val="18"/>
                <w:lang w:val="en-GB"/>
              </w:rPr>
              <w:t xml:space="preserve"> styles in children, social gender roles, social media and internet addiction at national and international level. She has many published articles and notifications. </w:t>
            </w:r>
            <w:proofErr w:type="spellStart"/>
            <w:r w:rsidRPr="00A57F76">
              <w:rPr>
                <w:rFonts w:eastAsia="Calibri"/>
                <w:sz w:val="18"/>
                <w:szCs w:val="18"/>
                <w:lang w:val="en-GB"/>
              </w:rPr>
              <w:t>Serin</w:t>
            </w:r>
            <w:proofErr w:type="spellEnd"/>
            <w:r w:rsidRPr="00A57F76">
              <w:rPr>
                <w:rFonts w:eastAsia="Calibri"/>
                <w:sz w:val="18"/>
                <w:szCs w:val="18"/>
                <w:lang w:val="en-GB"/>
              </w:rPr>
              <w:t xml:space="preserve"> has five books written in her field and has two book chapter authorship.</w:t>
            </w:r>
          </w:p>
        </w:tc>
      </w:tr>
    </w:tbl>
    <w:p w14:paraId="3A332F64" w14:textId="77777777" w:rsidR="00231A19" w:rsidRDefault="00231A19" w:rsidP="00231A19">
      <w:pPr>
        <w:jc w:val="both"/>
        <w:rPr>
          <w:color w:val="000000"/>
          <w:sz w:val="18"/>
          <w:szCs w:val="18"/>
        </w:rPr>
      </w:pPr>
    </w:p>
    <w:p w14:paraId="5EE39E0E" w14:textId="77777777" w:rsidR="00CF5B28" w:rsidRDefault="00CF5B28" w:rsidP="00231A19">
      <w:pPr>
        <w:jc w:val="both"/>
        <w:rPr>
          <w:color w:val="000000"/>
          <w:sz w:val="18"/>
          <w:szCs w:val="18"/>
        </w:rPr>
      </w:pPr>
    </w:p>
    <w:sectPr w:rsidR="00CF5B28" w:rsidSect="0085352C">
      <w:headerReference w:type="even" r:id="rId23"/>
      <w:headerReference w:type="default" r:id="rId24"/>
      <w:footerReference w:type="even" r:id="rId25"/>
      <w:footerReference w:type="default" r:id="rId26"/>
      <w:headerReference w:type="first" r:id="rId27"/>
      <w:footerReference w:type="first" r:id="rId28"/>
      <w:pgSz w:w="11907" w:h="16840" w:code="9"/>
      <w:pgMar w:top="1418" w:right="1418" w:bottom="1418" w:left="1701" w:header="1134" w:footer="1134" w:gutter="0"/>
      <w:pgNumType w:start="1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48312" w14:textId="77777777" w:rsidR="00784E16" w:rsidRDefault="00784E16">
      <w:r>
        <w:separator/>
      </w:r>
    </w:p>
  </w:endnote>
  <w:endnote w:type="continuationSeparator" w:id="0">
    <w:p w14:paraId="44283C71" w14:textId="77777777" w:rsidR="00784E16" w:rsidRDefault="00784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A2"/>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A2"/>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AE1B1" w14:textId="121263F5" w:rsidR="00097958" w:rsidRPr="003D5B84" w:rsidRDefault="00050148" w:rsidP="00C07BEF">
    <w:pPr>
      <w:pStyle w:val="Header"/>
      <w:tabs>
        <w:tab w:val="clear" w:pos="4320"/>
        <w:tab w:val="clear" w:pos="8640"/>
        <w:tab w:val="left" w:pos="2992"/>
      </w:tabs>
      <w:spacing w:before="240"/>
    </w:pPr>
    <w:r>
      <w:rPr>
        <w:noProof/>
        <w:lang w:val="tr-TR" w:eastAsia="tr-TR"/>
      </w:rPr>
      <mc:AlternateContent>
        <mc:Choice Requires="wps">
          <w:drawing>
            <wp:anchor distT="0" distB="0" distL="114300" distR="114300" simplePos="0" relativeHeight="251653632" behindDoc="0" locked="0" layoutInCell="1" allowOverlap="1" wp14:anchorId="45A7434F" wp14:editId="3CCE1A1F">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57BB0" id="Line 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rsidR="00397054">
      <w:rPr>
        <w:noProof/>
      </w:rPr>
      <w:t>Int</w:t>
    </w:r>
    <w:r w:rsidR="004305E7">
      <w:rPr>
        <w:noProof/>
      </w:rPr>
      <w:t xml:space="preserve"> </w:t>
    </w:r>
    <w:r w:rsidR="00A27BF0" w:rsidRPr="00A27BF0">
      <w:rPr>
        <w:noProof/>
      </w:rPr>
      <w:t>J Eval &amp; Res Educ</w:t>
    </w:r>
    <w:r w:rsidR="00397054">
      <w:rPr>
        <w:noProof/>
      </w:rPr>
      <w:t>,</w:t>
    </w:r>
    <w:r w:rsidR="00A27BF0">
      <w:rPr>
        <w:noProof/>
      </w:rPr>
      <w:t xml:space="preserve"> </w:t>
    </w:r>
    <w:r w:rsidR="00097958" w:rsidRPr="003D5B84">
      <w:t xml:space="preserve">Vol. </w:t>
    </w:r>
    <w:r w:rsidR="00150F19">
      <w:t>9</w:t>
    </w:r>
    <w:r w:rsidR="00097958" w:rsidRPr="003D5B84">
      <w:t xml:space="preserve">, No. </w:t>
    </w:r>
    <w:r w:rsidR="001E31DF">
      <w:t>1</w:t>
    </w:r>
    <w:r w:rsidR="0055343D" w:rsidRPr="003D5B84">
      <w:t xml:space="preserve">, </w:t>
    </w:r>
    <w:r w:rsidR="00D05D89">
      <w:t>March</w:t>
    </w:r>
    <w:r w:rsidR="00596A4C">
      <w:t xml:space="preserve"> 2020</w:t>
    </w:r>
    <w:r w:rsidR="00097958" w:rsidRPr="003D5B84">
      <w:t xml:space="preserve">:  </w:t>
    </w:r>
    <w:r w:rsidR="007F2C82" w:rsidRPr="003D5B84">
      <w:t>xx</w:t>
    </w:r>
    <w:r w:rsidR="00E5385B">
      <w:t xml:space="preserve"> </w:t>
    </w:r>
    <w:r w:rsidR="000442C6">
      <w:t>-</w:t>
    </w:r>
    <w:r w:rsidR="00097958" w:rsidRPr="003D5B84">
      <w:t xml:space="preserve"> </w:t>
    </w:r>
    <w:r w:rsidR="007F2C82" w:rsidRPr="003D5B84">
      <w:t>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EB890" w14:textId="77777777" w:rsidR="00097958" w:rsidRPr="00C07BEF" w:rsidRDefault="00EE10AE"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00644" w14:textId="77777777" w:rsidR="00596A4C" w:rsidRPr="00596A4C" w:rsidRDefault="00C854C1" w:rsidP="00596A4C">
    <w:pPr>
      <w:pStyle w:val="Footer"/>
      <w:pBdr>
        <w:top w:val="single" w:sz="4" w:space="1" w:color="auto"/>
      </w:pBdr>
      <w:spacing w:before="240"/>
      <w:rPr>
        <w:i/>
        <w:szCs w:val="18"/>
      </w:rPr>
    </w:pPr>
    <w:r w:rsidRPr="00C854C1">
      <w:rPr>
        <w:b/>
        <w:i/>
        <w:szCs w:val="18"/>
      </w:rPr>
      <w:t>Journal homepage</w:t>
    </w:r>
    <w:r>
      <w:rPr>
        <w:i/>
        <w:szCs w:val="18"/>
      </w:rPr>
      <w:t xml:space="preserve">: </w:t>
    </w:r>
    <w:r w:rsidR="00596A4C" w:rsidRPr="00596A4C">
      <w:rPr>
        <w:i/>
        <w:szCs w:val="18"/>
      </w:rPr>
      <w:t>http://ijere.iaescore.com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F5E28" w14:textId="77777777" w:rsidR="00784E16" w:rsidRDefault="00784E16">
      <w:r>
        <w:separator/>
      </w:r>
    </w:p>
  </w:footnote>
  <w:footnote w:type="continuationSeparator" w:id="0">
    <w:p w14:paraId="02A7321A" w14:textId="77777777" w:rsidR="00784E16" w:rsidRDefault="00784E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66244" w14:textId="77777777" w:rsidR="00097958" w:rsidRPr="003D5B84" w:rsidRDefault="00C3666D"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2428DC">
      <w:rPr>
        <w:rStyle w:val="PageNumber"/>
        <w:noProof/>
      </w:rPr>
      <w:t>102</w:t>
    </w:r>
    <w:r w:rsidRPr="003D5B84">
      <w:rPr>
        <w:rStyle w:val="PageNumber"/>
      </w:rPr>
      <w:fldChar w:fldCharType="end"/>
    </w:r>
  </w:p>
  <w:p w14:paraId="14D47CC2" w14:textId="77777777" w:rsidR="00097958" w:rsidRPr="003D5B84" w:rsidRDefault="00050148" w:rsidP="00C07BEF">
    <w:pPr>
      <w:pStyle w:val="Header"/>
      <w:tabs>
        <w:tab w:val="clear" w:pos="4320"/>
        <w:tab w:val="clear" w:pos="8640"/>
        <w:tab w:val="right" w:pos="851"/>
        <w:tab w:val="left" w:pos="3405"/>
        <w:tab w:val="right" w:pos="8789"/>
      </w:tabs>
      <w:spacing w:after="240"/>
    </w:pPr>
    <w:r>
      <w:rPr>
        <w:noProof/>
        <w:lang w:val="tr-TR" w:eastAsia="tr-TR"/>
      </w:rPr>
      <mc:AlternateContent>
        <mc:Choice Requires="wps">
          <w:drawing>
            <wp:anchor distT="0" distB="0" distL="114300" distR="114300" simplePos="0" relativeHeight="251655680" behindDoc="0" locked="0" layoutInCell="1" allowOverlap="1" wp14:anchorId="1EFD24AC" wp14:editId="7074A33D">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22F5F2"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9C34A6" w:rsidRPr="009C34A6">
      <w:t>2252-8822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BB911" w14:textId="77777777" w:rsidR="00097958" w:rsidRPr="003D5B84" w:rsidRDefault="00C3666D"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2428DC">
      <w:rPr>
        <w:rStyle w:val="PageNumber"/>
        <w:noProof/>
      </w:rPr>
      <w:t>107</w:t>
    </w:r>
    <w:r w:rsidRPr="003D5B84">
      <w:rPr>
        <w:rStyle w:val="PageNumber"/>
      </w:rPr>
      <w:fldChar w:fldCharType="end"/>
    </w:r>
  </w:p>
  <w:p w14:paraId="2A27AEA6" w14:textId="77777777" w:rsidR="00097958" w:rsidRPr="003D5B84" w:rsidRDefault="00A27BF0" w:rsidP="00C07BEF">
    <w:pPr>
      <w:pStyle w:val="Header"/>
      <w:pBdr>
        <w:bottom w:val="single" w:sz="4" w:space="1" w:color="auto"/>
      </w:pBdr>
      <w:tabs>
        <w:tab w:val="clear" w:pos="4320"/>
        <w:tab w:val="clear" w:pos="8640"/>
        <w:tab w:val="left" w:pos="0"/>
        <w:tab w:val="center" w:pos="4301"/>
        <w:tab w:val="left" w:pos="7938"/>
      </w:tabs>
    </w:pPr>
    <w:r w:rsidRPr="00A27BF0">
      <w:t>Int J Eval &amp; Res Educ</w:t>
    </w:r>
    <w:r w:rsidR="00097958" w:rsidRPr="003D5B84">
      <w:t xml:space="preserve"> </w:t>
    </w:r>
    <w:r w:rsidR="00097958" w:rsidRPr="003D5B84">
      <w:tab/>
      <w:t xml:space="preserve">ISSN: </w:t>
    </w:r>
    <w:r w:rsidR="009C34A6" w:rsidRPr="009C34A6">
      <w:t>2252-8822</w:t>
    </w:r>
    <w:r w:rsidR="00EF1185" w:rsidRPr="003D5B84">
      <w:tab/>
    </w:r>
    <w:r w:rsidR="00C854C1">
      <w:sym w:font="Wingdings" w:char="F072"/>
    </w:r>
  </w:p>
  <w:p w14:paraId="4F63D851" w14:textId="77777777" w:rsidR="00097958" w:rsidRPr="003D5B84" w:rsidRDefault="00097958"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5DABD" w14:textId="77777777" w:rsidR="008B060F" w:rsidRPr="003D5B84" w:rsidRDefault="00D05D89" w:rsidP="008B04B3">
    <w:pPr>
      <w:pStyle w:val="Header"/>
      <w:tabs>
        <w:tab w:val="clear" w:pos="4320"/>
        <w:tab w:val="clear" w:pos="8640"/>
      </w:tabs>
      <w:ind w:right="45"/>
      <w:rPr>
        <w:b/>
      </w:rPr>
    </w:pPr>
    <w:r w:rsidRPr="00D05D89">
      <w:rPr>
        <w:b/>
      </w:rPr>
      <w:t>International Journal of Evaluation and Research in Education (IJERE)</w:t>
    </w:r>
  </w:p>
  <w:p w14:paraId="76457DF7" w14:textId="6C721ABE" w:rsidR="002F6BBA" w:rsidRPr="003D5B84" w:rsidRDefault="002F6BBA" w:rsidP="008B04B3">
    <w:pPr>
      <w:pStyle w:val="Header"/>
      <w:tabs>
        <w:tab w:val="clear" w:pos="4320"/>
        <w:tab w:val="clear" w:pos="8640"/>
      </w:tabs>
      <w:ind w:right="45"/>
    </w:pPr>
    <w:r w:rsidRPr="003D5B84">
      <w:t>Vol.</w:t>
    </w:r>
    <w:r w:rsidR="00E57D47">
      <w:t xml:space="preserve"> </w:t>
    </w:r>
    <w:r w:rsidR="00150F19">
      <w:t>9</w:t>
    </w:r>
    <w:r w:rsidRPr="003D5B84">
      <w:t>, No.</w:t>
    </w:r>
    <w:r w:rsidR="00E57D47">
      <w:t xml:space="preserve"> </w:t>
    </w:r>
    <w:r w:rsidR="00795966">
      <w:t>1</w:t>
    </w:r>
    <w:r w:rsidRPr="003D5B84">
      <w:t xml:space="preserve">, </w:t>
    </w:r>
    <w:r w:rsidR="00D05D89">
      <w:t>March</w:t>
    </w:r>
    <w:r w:rsidR="008B060F" w:rsidRPr="003D5B84">
      <w:t xml:space="preserve"> </w:t>
    </w:r>
    <w:r w:rsidR="00596A4C">
      <w:t>2020</w:t>
    </w:r>
    <w:r w:rsidR="0075769A" w:rsidRPr="003D5B84">
      <w:t xml:space="preserve">, pp. </w:t>
    </w:r>
    <w:proofErr w:type="spellStart"/>
    <w:r w:rsidR="008B060F" w:rsidRPr="003D5B84">
      <w:t>xx~</w:t>
    </w:r>
    <w:r w:rsidR="007F2C82" w:rsidRPr="003D5B84">
      <w:t>xx</w:t>
    </w:r>
    <w:proofErr w:type="spellEnd"/>
  </w:p>
  <w:p w14:paraId="62FE6FEE" w14:textId="67416022" w:rsidR="00097958" w:rsidRPr="003D5B84" w:rsidRDefault="002F6BBA" w:rsidP="00957C11">
    <w:pPr>
      <w:pStyle w:val="Header"/>
      <w:tabs>
        <w:tab w:val="clear" w:pos="4320"/>
        <w:tab w:val="clear" w:pos="8640"/>
        <w:tab w:val="left" w:pos="7938"/>
        <w:tab w:val="right" w:pos="8789"/>
      </w:tabs>
      <w:rPr>
        <w:rStyle w:val="PageNumber"/>
      </w:rPr>
    </w:pPr>
    <w:r w:rsidRPr="009C34A6">
      <w:t xml:space="preserve">ISSN: </w:t>
    </w:r>
    <w:r w:rsidR="009C34A6" w:rsidRPr="009C34A6">
      <w:t>2252-8822</w:t>
    </w:r>
    <w:r w:rsidR="00847569">
      <w:t xml:space="preserve">, </w:t>
    </w:r>
    <w:r w:rsidR="00847569" w:rsidRPr="00847569">
      <w:t>DOI: 10.11591/</w:t>
    </w:r>
    <w:r w:rsidR="00847569">
      <w:t>ije</w:t>
    </w:r>
    <w:r w:rsidR="00783937">
      <w:t>r</w:t>
    </w:r>
    <w:r w:rsidR="00847569">
      <w:t>e</w:t>
    </w:r>
    <w:r w:rsidR="00847569" w:rsidRPr="00847569">
      <w:t>.</w:t>
    </w:r>
    <w:r w:rsidR="00847569">
      <w:t>v</w:t>
    </w:r>
    <w:r w:rsidR="00150F19">
      <w:t>9</w:t>
    </w:r>
    <w:r w:rsidR="00847569" w:rsidRPr="00847569">
      <w:t>i</w:t>
    </w:r>
    <w:r w:rsidR="00A6661A">
      <w:t>1</w:t>
    </w:r>
    <w:r w:rsidR="00847569" w:rsidRPr="00847569">
      <w:t>.</w:t>
    </w:r>
    <w:r w:rsidR="00150F19">
      <w:t>xxxx</w:t>
    </w:r>
    <w:r w:rsidR="008B060F" w:rsidRPr="003D5B84">
      <w:tab/>
    </w:r>
    <w:r w:rsidR="00C854C1">
      <w:sym w:font="Wingdings" w:char="F072"/>
    </w:r>
    <w:r w:rsidR="00097958" w:rsidRPr="003D5B84">
      <w:t xml:space="preserve">   </w:t>
    </w:r>
    <w:r w:rsidR="00855965" w:rsidRPr="003D5B84">
      <w:t xml:space="preserve"> </w:t>
    </w:r>
    <w:r w:rsidR="00E5155C" w:rsidRPr="003D5B84">
      <w:tab/>
    </w:r>
    <w:r w:rsidR="00C3666D" w:rsidRPr="003D5B84">
      <w:rPr>
        <w:rStyle w:val="PageNumber"/>
      </w:rPr>
      <w:fldChar w:fldCharType="begin"/>
    </w:r>
    <w:r w:rsidR="00097958" w:rsidRPr="003D5B84">
      <w:rPr>
        <w:rStyle w:val="PageNumber"/>
      </w:rPr>
      <w:instrText xml:space="preserve"> PAGE </w:instrText>
    </w:r>
    <w:r w:rsidR="00C3666D" w:rsidRPr="003D5B84">
      <w:rPr>
        <w:rStyle w:val="PageNumber"/>
      </w:rPr>
      <w:fldChar w:fldCharType="separate"/>
    </w:r>
    <w:r w:rsidR="002428DC">
      <w:rPr>
        <w:rStyle w:val="PageNumber"/>
        <w:noProof/>
      </w:rPr>
      <w:t>101</w:t>
    </w:r>
    <w:r w:rsidR="00C3666D" w:rsidRPr="003D5B84">
      <w:rPr>
        <w:rStyle w:val="PageNumber"/>
      </w:rPr>
      <w:fldChar w:fldCharType="end"/>
    </w:r>
  </w:p>
  <w:p w14:paraId="5618D966" w14:textId="77777777" w:rsidR="00097958" w:rsidRPr="003D5B84" w:rsidRDefault="00050148" w:rsidP="008B04B3">
    <w:pPr>
      <w:pStyle w:val="Header"/>
      <w:tabs>
        <w:tab w:val="clear" w:pos="4320"/>
        <w:tab w:val="clear" w:pos="8640"/>
      </w:tabs>
      <w:ind w:right="45"/>
      <w:jc w:val="right"/>
      <w:rPr>
        <w:rStyle w:val="PageNumber"/>
      </w:rPr>
    </w:pPr>
    <w:r>
      <w:rPr>
        <w:noProof/>
        <w:lang w:val="tr-TR" w:eastAsia="tr-TR"/>
      </w:rPr>
      <mc:AlternateContent>
        <mc:Choice Requires="wps">
          <w:drawing>
            <wp:anchor distT="0" distB="0" distL="114300" distR="114300" simplePos="0" relativeHeight="251662848" behindDoc="0" locked="0" layoutInCell="1" allowOverlap="1" wp14:anchorId="49CCEABB" wp14:editId="5555EF1C">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E34B9A"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00097958"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3"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4"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2"/>
  </w:num>
  <w:num w:numId="2">
    <w:abstractNumId w:val="8"/>
  </w:num>
  <w:num w:numId="3">
    <w:abstractNumId w:val="16"/>
  </w:num>
  <w:num w:numId="4">
    <w:abstractNumId w:val="7"/>
  </w:num>
  <w:num w:numId="5">
    <w:abstractNumId w:val="10"/>
  </w:num>
  <w:num w:numId="6">
    <w:abstractNumId w:val="13"/>
  </w:num>
  <w:num w:numId="7">
    <w:abstractNumId w:val="11"/>
  </w:num>
  <w:num w:numId="8">
    <w:abstractNumId w:val="9"/>
  </w:num>
  <w:num w:numId="9">
    <w:abstractNumId w:val="6"/>
  </w:num>
  <w:num w:numId="10">
    <w:abstractNumId w:val="1"/>
  </w:num>
  <w:num w:numId="11">
    <w:abstractNumId w:val="0"/>
  </w:num>
  <w:num w:numId="12">
    <w:abstractNumId w:val="3"/>
  </w:num>
  <w:num w:numId="13">
    <w:abstractNumId w:val="2"/>
  </w:num>
  <w:num w:numId="14">
    <w:abstractNumId w:val="4"/>
  </w:num>
  <w:num w:numId="15">
    <w:abstractNumId w:val="15"/>
  </w:num>
  <w:num w:numId="16">
    <w:abstractNumId w:val="5"/>
  </w:num>
  <w:num w:numId="1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42C6"/>
    <w:rsid w:val="000474E3"/>
    <w:rsid w:val="00047710"/>
    <w:rsid w:val="00050148"/>
    <w:rsid w:val="00051889"/>
    <w:rsid w:val="000523C5"/>
    <w:rsid w:val="00053FB7"/>
    <w:rsid w:val="0006020A"/>
    <w:rsid w:val="00060330"/>
    <w:rsid w:val="00060F5C"/>
    <w:rsid w:val="00061D77"/>
    <w:rsid w:val="00062720"/>
    <w:rsid w:val="0006350C"/>
    <w:rsid w:val="00065191"/>
    <w:rsid w:val="00066063"/>
    <w:rsid w:val="00066A25"/>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38F8"/>
    <w:rsid w:val="00094EB8"/>
    <w:rsid w:val="00095C3E"/>
    <w:rsid w:val="00096883"/>
    <w:rsid w:val="000973CC"/>
    <w:rsid w:val="00097958"/>
    <w:rsid w:val="00097E2D"/>
    <w:rsid w:val="000A15DA"/>
    <w:rsid w:val="000A25ED"/>
    <w:rsid w:val="000A592D"/>
    <w:rsid w:val="000A643C"/>
    <w:rsid w:val="000A7ACA"/>
    <w:rsid w:val="000B0641"/>
    <w:rsid w:val="000B1AEE"/>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2AB3"/>
    <w:rsid w:val="000E3B55"/>
    <w:rsid w:val="000E46C5"/>
    <w:rsid w:val="000E4FD6"/>
    <w:rsid w:val="000E708C"/>
    <w:rsid w:val="000F279B"/>
    <w:rsid w:val="000F29E1"/>
    <w:rsid w:val="000F61E2"/>
    <w:rsid w:val="000F7ED5"/>
    <w:rsid w:val="0010046E"/>
    <w:rsid w:val="00102A61"/>
    <w:rsid w:val="001041EB"/>
    <w:rsid w:val="001045B1"/>
    <w:rsid w:val="00104BF1"/>
    <w:rsid w:val="00106F02"/>
    <w:rsid w:val="001078A8"/>
    <w:rsid w:val="00107904"/>
    <w:rsid w:val="00107D1B"/>
    <w:rsid w:val="001129DE"/>
    <w:rsid w:val="0011369D"/>
    <w:rsid w:val="00113F18"/>
    <w:rsid w:val="00114470"/>
    <w:rsid w:val="00117326"/>
    <w:rsid w:val="00117C85"/>
    <w:rsid w:val="00121C37"/>
    <w:rsid w:val="00121F8C"/>
    <w:rsid w:val="00122833"/>
    <w:rsid w:val="0012593C"/>
    <w:rsid w:val="00125C41"/>
    <w:rsid w:val="00126B1A"/>
    <w:rsid w:val="0013179E"/>
    <w:rsid w:val="00131A6C"/>
    <w:rsid w:val="00131E4C"/>
    <w:rsid w:val="00133B59"/>
    <w:rsid w:val="00136716"/>
    <w:rsid w:val="00137465"/>
    <w:rsid w:val="00137E25"/>
    <w:rsid w:val="00137F36"/>
    <w:rsid w:val="00141F86"/>
    <w:rsid w:val="001434C3"/>
    <w:rsid w:val="001441CB"/>
    <w:rsid w:val="00145453"/>
    <w:rsid w:val="0014611F"/>
    <w:rsid w:val="00146861"/>
    <w:rsid w:val="00150F19"/>
    <w:rsid w:val="001517E4"/>
    <w:rsid w:val="00151E7C"/>
    <w:rsid w:val="00153387"/>
    <w:rsid w:val="00154BE1"/>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3DF1"/>
    <w:rsid w:val="00195579"/>
    <w:rsid w:val="001A0839"/>
    <w:rsid w:val="001A33EF"/>
    <w:rsid w:val="001A3625"/>
    <w:rsid w:val="001A5228"/>
    <w:rsid w:val="001B2439"/>
    <w:rsid w:val="001B2EF9"/>
    <w:rsid w:val="001B4AB3"/>
    <w:rsid w:val="001B5250"/>
    <w:rsid w:val="001B5719"/>
    <w:rsid w:val="001B621C"/>
    <w:rsid w:val="001B64D0"/>
    <w:rsid w:val="001B7915"/>
    <w:rsid w:val="001C0FE6"/>
    <w:rsid w:val="001C19EB"/>
    <w:rsid w:val="001C1DDC"/>
    <w:rsid w:val="001C4448"/>
    <w:rsid w:val="001C7AC5"/>
    <w:rsid w:val="001D04CA"/>
    <w:rsid w:val="001D19C3"/>
    <w:rsid w:val="001D218B"/>
    <w:rsid w:val="001D5842"/>
    <w:rsid w:val="001E1922"/>
    <w:rsid w:val="001E2071"/>
    <w:rsid w:val="001E31DF"/>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25C1C"/>
    <w:rsid w:val="00230440"/>
    <w:rsid w:val="00230AAB"/>
    <w:rsid w:val="00231A19"/>
    <w:rsid w:val="00232081"/>
    <w:rsid w:val="00232DA1"/>
    <w:rsid w:val="002351A8"/>
    <w:rsid w:val="002378BD"/>
    <w:rsid w:val="00237B26"/>
    <w:rsid w:val="00240303"/>
    <w:rsid w:val="002403BF"/>
    <w:rsid w:val="0024180A"/>
    <w:rsid w:val="0024268D"/>
    <w:rsid w:val="002428DC"/>
    <w:rsid w:val="00243135"/>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3BE0"/>
    <w:rsid w:val="00296D8E"/>
    <w:rsid w:val="002A0772"/>
    <w:rsid w:val="002B0601"/>
    <w:rsid w:val="002B10C7"/>
    <w:rsid w:val="002B1AEA"/>
    <w:rsid w:val="002B66EF"/>
    <w:rsid w:val="002B6EC9"/>
    <w:rsid w:val="002B7609"/>
    <w:rsid w:val="002C0665"/>
    <w:rsid w:val="002C2C92"/>
    <w:rsid w:val="002C4749"/>
    <w:rsid w:val="002C49CF"/>
    <w:rsid w:val="002C6317"/>
    <w:rsid w:val="002D07B9"/>
    <w:rsid w:val="002D0C71"/>
    <w:rsid w:val="002D0F04"/>
    <w:rsid w:val="002D31A6"/>
    <w:rsid w:val="002D36B3"/>
    <w:rsid w:val="002D4A56"/>
    <w:rsid w:val="002D797A"/>
    <w:rsid w:val="002E0BC4"/>
    <w:rsid w:val="002E145A"/>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17606"/>
    <w:rsid w:val="003200C9"/>
    <w:rsid w:val="003209C7"/>
    <w:rsid w:val="0032306D"/>
    <w:rsid w:val="003240FD"/>
    <w:rsid w:val="00326170"/>
    <w:rsid w:val="003263E9"/>
    <w:rsid w:val="00326446"/>
    <w:rsid w:val="00326D35"/>
    <w:rsid w:val="00331183"/>
    <w:rsid w:val="00332063"/>
    <w:rsid w:val="00333AB9"/>
    <w:rsid w:val="00333C06"/>
    <w:rsid w:val="0033459B"/>
    <w:rsid w:val="00335BE8"/>
    <w:rsid w:val="0033767D"/>
    <w:rsid w:val="00337C87"/>
    <w:rsid w:val="0034265F"/>
    <w:rsid w:val="00343A49"/>
    <w:rsid w:val="0034452C"/>
    <w:rsid w:val="00346441"/>
    <w:rsid w:val="003475EC"/>
    <w:rsid w:val="0035076B"/>
    <w:rsid w:val="00352BEB"/>
    <w:rsid w:val="00353885"/>
    <w:rsid w:val="00361EB1"/>
    <w:rsid w:val="003629D1"/>
    <w:rsid w:val="003637CE"/>
    <w:rsid w:val="003715EC"/>
    <w:rsid w:val="00372C91"/>
    <w:rsid w:val="00373753"/>
    <w:rsid w:val="003751C8"/>
    <w:rsid w:val="00376867"/>
    <w:rsid w:val="00376A96"/>
    <w:rsid w:val="003772AC"/>
    <w:rsid w:val="003775CE"/>
    <w:rsid w:val="00381E56"/>
    <w:rsid w:val="003826FF"/>
    <w:rsid w:val="00391530"/>
    <w:rsid w:val="00391FE5"/>
    <w:rsid w:val="00392814"/>
    <w:rsid w:val="00392AE8"/>
    <w:rsid w:val="00393D9D"/>
    <w:rsid w:val="00393E61"/>
    <w:rsid w:val="00396D02"/>
    <w:rsid w:val="00397054"/>
    <w:rsid w:val="00397B51"/>
    <w:rsid w:val="003A0041"/>
    <w:rsid w:val="003A1C3E"/>
    <w:rsid w:val="003A2810"/>
    <w:rsid w:val="003A2970"/>
    <w:rsid w:val="003A5088"/>
    <w:rsid w:val="003A5168"/>
    <w:rsid w:val="003A7D80"/>
    <w:rsid w:val="003B0E46"/>
    <w:rsid w:val="003B14AA"/>
    <w:rsid w:val="003B19C7"/>
    <w:rsid w:val="003B25A5"/>
    <w:rsid w:val="003B3120"/>
    <w:rsid w:val="003B3537"/>
    <w:rsid w:val="003B567E"/>
    <w:rsid w:val="003B6932"/>
    <w:rsid w:val="003B6BDC"/>
    <w:rsid w:val="003B79EB"/>
    <w:rsid w:val="003B7ED0"/>
    <w:rsid w:val="003C0D91"/>
    <w:rsid w:val="003C3E42"/>
    <w:rsid w:val="003C4B05"/>
    <w:rsid w:val="003C578B"/>
    <w:rsid w:val="003C72E2"/>
    <w:rsid w:val="003D07D2"/>
    <w:rsid w:val="003D15AF"/>
    <w:rsid w:val="003D5B84"/>
    <w:rsid w:val="003D79CF"/>
    <w:rsid w:val="003E0207"/>
    <w:rsid w:val="003E0E36"/>
    <w:rsid w:val="003E304D"/>
    <w:rsid w:val="003E4861"/>
    <w:rsid w:val="003E4AA5"/>
    <w:rsid w:val="003F0964"/>
    <w:rsid w:val="003F0E86"/>
    <w:rsid w:val="003F18A1"/>
    <w:rsid w:val="003F1D93"/>
    <w:rsid w:val="003F2EB6"/>
    <w:rsid w:val="003F4897"/>
    <w:rsid w:val="003F6587"/>
    <w:rsid w:val="00402C7D"/>
    <w:rsid w:val="00403A74"/>
    <w:rsid w:val="00406310"/>
    <w:rsid w:val="00407351"/>
    <w:rsid w:val="00407C2D"/>
    <w:rsid w:val="004106DF"/>
    <w:rsid w:val="00411A71"/>
    <w:rsid w:val="00411C0C"/>
    <w:rsid w:val="0041364A"/>
    <w:rsid w:val="0041399A"/>
    <w:rsid w:val="00414535"/>
    <w:rsid w:val="00414EA0"/>
    <w:rsid w:val="004160C7"/>
    <w:rsid w:val="00420D64"/>
    <w:rsid w:val="004215DD"/>
    <w:rsid w:val="00424E85"/>
    <w:rsid w:val="00425BE9"/>
    <w:rsid w:val="00427072"/>
    <w:rsid w:val="004305E7"/>
    <w:rsid w:val="0043585C"/>
    <w:rsid w:val="00435FC3"/>
    <w:rsid w:val="00441F35"/>
    <w:rsid w:val="00443205"/>
    <w:rsid w:val="004439D2"/>
    <w:rsid w:val="004503E9"/>
    <w:rsid w:val="004531DE"/>
    <w:rsid w:val="00453463"/>
    <w:rsid w:val="004550E4"/>
    <w:rsid w:val="004637E8"/>
    <w:rsid w:val="00467368"/>
    <w:rsid w:val="004674CD"/>
    <w:rsid w:val="004710EE"/>
    <w:rsid w:val="00472E56"/>
    <w:rsid w:val="004740EC"/>
    <w:rsid w:val="004819CF"/>
    <w:rsid w:val="00481DA2"/>
    <w:rsid w:val="00482432"/>
    <w:rsid w:val="00484866"/>
    <w:rsid w:val="0048598C"/>
    <w:rsid w:val="004859D6"/>
    <w:rsid w:val="00485FD1"/>
    <w:rsid w:val="0048797E"/>
    <w:rsid w:val="00487DD3"/>
    <w:rsid w:val="004902C8"/>
    <w:rsid w:val="004905D4"/>
    <w:rsid w:val="00492E44"/>
    <w:rsid w:val="004943BB"/>
    <w:rsid w:val="004947B9"/>
    <w:rsid w:val="0049514C"/>
    <w:rsid w:val="004956C4"/>
    <w:rsid w:val="00496DFD"/>
    <w:rsid w:val="004A0C8B"/>
    <w:rsid w:val="004A187E"/>
    <w:rsid w:val="004A335F"/>
    <w:rsid w:val="004A3B2E"/>
    <w:rsid w:val="004A3F3D"/>
    <w:rsid w:val="004A4FDB"/>
    <w:rsid w:val="004A5FC0"/>
    <w:rsid w:val="004A7C83"/>
    <w:rsid w:val="004B15AF"/>
    <w:rsid w:val="004B1FFE"/>
    <w:rsid w:val="004B2F8C"/>
    <w:rsid w:val="004B4EDE"/>
    <w:rsid w:val="004B589F"/>
    <w:rsid w:val="004B661B"/>
    <w:rsid w:val="004B76DC"/>
    <w:rsid w:val="004C08DF"/>
    <w:rsid w:val="004C0B2C"/>
    <w:rsid w:val="004C1E2F"/>
    <w:rsid w:val="004C3BEB"/>
    <w:rsid w:val="004C59ED"/>
    <w:rsid w:val="004C65D5"/>
    <w:rsid w:val="004D1340"/>
    <w:rsid w:val="004D58D6"/>
    <w:rsid w:val="004D7295"/>
    <w:rsid w:val="004E140A"/>
    <w:rsid w:val="004E154B"/>
    <w:rsid w:val="004E1914"/>
    <w:rsid w:val="004E3613"/>
    <w:rsid w:val="004E3AFD"/>
    <w:rsid w:val="004E3CAD"/>
    <w:rsid w:val="004E6C69"/>
    <w:rsid w:val="004E7D77"/>
    <w:rsid w:val="004F101E"/>
    <w:rsid w:val="004F2976"/>
    <w:rsid w:val="004F2A11"/>
    <w:rsid w:val="004F3166"/>
    <w:rsid w:val="004F3208"/>
    <w:rsid w:val="004F54D2"/>
    <w:rsid w:val="004F6193"/>
    <w:rsid w:val="00501713"/>
    <w:rsid w:val="00504D61"/>
    <w:rsid w:val="00505F41"/>
    <w:rsid w:val="0050794C"/>
    <w:rsid w:val="0051075B"/>
    <w:rsid w:val="00511236"/>
    <w:rsid w:val="00511539"/>
    <w:rsid w:val="00512DE0"/>
    <w:rsid w:val="0051361F"/>
    <w:rsid w:val="00515455"/>
    <w:rsid w:val="00515885"/>
    <w:rsid w:val="00516317"/>
    <w:rsid w:val="005174FF"/>
    <w:rsid w:val="00520EC3"/>
    <w:rsid w:val="0052138C"/>
    <w:rsid w:val="005213A1"/>
    <w:rsid w:val="0052307E"/>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04F"/>
    <w:rsid w:val="0054283A"/>
    <w:rsid w:val="00545E9C"/>
    <w:rsid w:val="00547658"/>
    <w:rsid w:val="0054768C"/>
    <w:rsid w:val="005517D6"/>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0B84"/>
    <w:rsid w:val="00592442"/>
    <w:rsid w:val="0059283B"/>
    <w:rsid w:val="00593E92"/>
    <w:rsid w:val="005949F1"/>
    <w:rsid w:val="005956F7"/>
    <w:rsid w:val="00595CB2"/>
    <w:rsid w:val="00596A4C"/>
    <w:rsid w:val="005978C8"/>
    <w:rsid w:val="005A0A0F"/>
    <w:rsid w:val="005A1AD0"/>
    <w:rsid w:val="005A2361"/>
    <w:rsid w:val="005A24ED"/>
    <w:rsid w:val="005A2573"/>
    <w:rsid w:val="005A4783"/>
    <w:rsid w:val="005A5B5E"/>
    <w:rsid w:val="005A5CE7"/>
    <w:rsid w:val="005A6B87"/>
    <w:rsid w:val="005B0825"/>
    <w:rsid w:val="005B0A84"/>
    <w:rsid w:val="005B2D16"/>
    <w:rsid w:val="005B4DAF"/>
    <w:rsid w:val="005B56A0"/>
    <w:rsid w:val="005B5788"/>
    <w:rsid w:val="005B60D5"/>
    <w:rsid w:val="005B693A"/>
    <w:rsid w:val="005C1178"/>
    <w:rsid w:val="005C11D6"/>
    <w:rsid w:val="005C12EA"/>
    <w:rsid w:val="005C1759"/>
    <w:rsid w:val="005C234E"/>
    <w:rsid w:val="005D02EE"/>
    <w:rsid w:val="005D0C1B"/>
    <w:rsid w:val="005D210E"/>
    <w:rsid w:val="005D3D27"/>
    <w:rsid w:val="005D464B"/>
    <w:rsid w:val="005D7D3A"/>
    <w:rsid w:val="005D7EB1"/>
    <w:rsid w:val="005E29E0"/>
    <w:rsid w:val="005E5975"/>
    <w:rsid w:val="005E6EF7"/>
    <w:rsid w:val="005E736A"/>
    <w:rsid w:val="005E75FC"/>
    <w:rsid w:val="005F042D"/>
    <w:rsid w:val="005F3D1C"/>
    <w:rsid w:val="005F534C"/>
    <w:rsid w:val="005F75F8"/>
    <w:rsid w:val="00602AEC"/>
    <w:rsid w:val="006044C7"/>
    <w:rsid w:val="006123B6"/>
    <w:rsid w:val="00613629"/>
    <w:rsid w:val="00613977"/>
    <w:rsid w:val="0061627D"/>
    <w:rsid w:val="006206C7"/>
    <w:rsid w:val="00622EC4"/>
    <w:rsid w:val="0062488B"/>
    <w:rsid w:val="006327F1"/>
    <w:rsid w:val="00636167"/>
    <w:rsid w:val="00644417"/>
    <w:rsid w:val="00647075"/>
    <w:rsid w:val="00652EBE"/>
    <w:rsid w:val="006549EF"/>
    <w:rsid w:val="00655972"/>
    <w:rsid w:val="00655C14"/>
    <w:rsid w:val="00656420"/>
    <w:rsid w:val="00662070"/>
    <w:rsid w:val="0066237A"/>
    <w:rsid w:val="006628A9"/>
    <w:rsid w:val="00665A9F"/>
    <w:rsid w:val="00665B37"/>
    <w:rsid w:val="00665DA0"/>
    <w:rsid w:val="006719D8"/>
    <w:rsid w:val="0067284B"/>
    <w:rsid w:val="0067364F"/>
    <w:rsid w:val="00675D81"/>
    <w:rsid w:val="00676455"/>
    <w:rsid w:val="00676EB9"/>
    <w:rsid w:val="00677962"/>
    <w:rsid w:val="0068194E"/>
    <w:rsid w:val="00682B00"/>
    <w:rsid w:val="00685AA5"/>
    <w:rsid w:val="00685FB4"/>
    <w:rsid w:val="006863DA"/>
    <w:rsid w:val="00687CA7"/>
    <w:rsid w:val="00687D3A"/>
    <w:rsid w:val="006925E2"/>
    <w:rsid w:val="00693D25"/>
    <w:rsid w:val="0069780D"/>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5EC9"/>
    <w:rsid w:val="006D29E6"/>
    <w:rsid w:val="006D3AD5"/>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24234"/>
    <w:rsid w:val="00726601"/>
    <w:rsid w:val="00731AEB"/>
    <w:rsid w:val="00740C36"/>
    <w:rsid w:val="007410BF"/>
    <w:rsid w:val="00741A8F"/>
    <w:rsid w:val="00742008"/>
    <w:rsid w:val="00743BA0"/>
    <w:rsid w:val="00747DFD"/>
    <w:rsid w:val="00754329"/>
    <w:rsid w:val="007547A1"/>
    <w:rsid w:val="00756A93"/>
    <w:rsid w:val="0075769A"/>
    <w:rsid w:val="00765DEF"/>
    <w:rsid w:val="00766E46"/>
    <w:rsid w:val="00770389"/>
    <w:rsid w:val="00770E6E"/>
    <w:rsid w:val="00771A7C"/>
    <w:rsid w:val="0077230A"/>
    <w:rsid w:val="007725A0"/>
    <w:rsid w:val="00772725"/>
    <w:rsid w:val="00773EB7"/>
    <w:rsid w:val="007744BD"/>
    <w:rsid w:val="007751AA"/>
    <w:rsid w:val="00777AD7"/>
    <w:rsid w:val="007801F3"/>
    <w:rsid w:val="00783937"/>
    <w:rsid w:val="00784C44"/>
    <w:rsid w:val="00784E16"/>
    <w:rsid w:val="007912CE"/>
    <w:rsid w:val="0079451D"/>
    <w:rsid w:val="00795966"/>
    <w:rsid w:val="007A04C8"/>
    <w:rsid w:val="007A3102"/>
    <w:rsid w:val="007A3B30"/>
    <w:rsid w:val="007A3FC0"/>
    <w:rsid w:val="007A49BA"/>
    <w:rsid w:val="007A609F"/>
    <w:rsid w:val="007A7484"/>
    <w:rsid w:val="007B3EF9"/>
    <w:rsid w:val="007B5455"/>
    <w:rsid w:val="007B57A1"/>
    <w:rsid w:val="007B735D"/>
    <w:rsid w:val="007B7535"/>
    <w:rsid w:val="007C0D3D"/>
    <w:rsid w:val="007C2A08"/>
    <w:rsid w:val="007C60D8"/>
    <w:rsid w:val="007D0AC6"/>
    <w:rsid w:val="007D2077"/>
    <w:rsid w:val="007D4DC3"/>
    <w:rsid w:val="007D7A78"/>
    <w:rsid w:val="007E1F56"/>
    <w:rsid w:val="007E5812"/>
    <w:rsid w:val="007E68A5"/>
    <w:rsid w:val="007F1EC7"/>
    <w:rsid w:val="007F286F"/>
    <w:rsid w:val="007F2C82"/>
    <w:rsid w:val="007F36F4"/>
    <w:rsid w:val="007F3EAF"/>
    <w:rsid w:val="007F40B0"/>
    <w:rsid w:val="007F5F38"/>
    <w:rsid w:val="007F665B"/>
    <w:rsid w:val="008024F6"/>
    <w:rsid w:val="008042C8"/>
    <w:rsid w:val="00805CFD"/>
    <w:rsid w:val="00807F15"/>
    <w:rsid w:val="00812E82"/>
    <w:rsid w:val="0081359D"/>
    <w:rsid w:val="008136A0"/>
    <w:rsid w:val="00813CDD"/>
    <w:rsid w:val="00814164"/>
    <w:rsid w:val="00814AD7"/>
    <w:rsid w:val="00815A2E"/>
    <w:rsid w:val="008168B9"/>
    <w:rsid w:val="00820B4E"/>
    <w:rsid w:val="00822488"/>
    <w:rsid w:val="00822945"/>
    <w:rsid w:val="00823B38"/>
    <w:rsid w:val="00823F1C"/>
    <w:rsid w:val="00824697"/>
    <w:rsid w:val="00825860"/>
    <w:rsid w:val="00827A30"/>
    <w:rsid w:val="008318B8"/>
    <w:rsid w:val="00831DDD"/>
    <w:rsid w:val="00832386"/>
    <w:rsid w:val="008332DA"/>
    <w:rsid w:val="008344C2"/>
    <w:rsid w:val="00834BAC"/>
    <w:rsid w:val="00836D01"/>
    <w:rsid w:val="008379F3"/>
    <w:rsid w:val="00837EA3"/>
    <w:rsid w:val="00840495"/>
    <w:rsid w:val="008439A0"/>
    <w:rsid w:val="00843BE9"/>
    <w:rsid w:val="008440A6"/>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349C"/>
    <w:rsid w:val="008754E6"/>
    <w:rsid w:val="0087776F"/>
    <w:rsid w:val="0088233C"/>
    <w:rsid w:val="008823A3"/>
    <w:rsid w:val="0088280A"/>
    <w:rsid w:val="00883EB7"/>
    <w:rsid w:val="008922FE"/>
    <w:rsid w:val="00892C9F"/>
    <w:rsid w:val="00892FBD"/>
    <w:rsid w:val="00893AD8"/>
    <w:rsid w:val="00893D2C"/>
    <w:rsid w:val="00894D11"/>
    <w:rsid w:val="0089523F"/>
    <w:rsid w:val="008967A0"/>
    <w:rsid w:val="008967E5"/>
    <w:rsid w:val="00897BCF"/>
    <w:rsid w:val="008A07FE"/>
    <w:rsid w:val="008A12AD"/>
    <w:rsid w:val="008A1677"/>
    <w:rsid w:val="008A6436"/>
    <w:rsid w:val="008A6E5D"/>
    <w:rsid w:val="008B04B3"/>
    <w:rsid w:val="008B060F"/>
    <w:rsid w:val="008B144F"/>
    <w:rsid w:val="008B1A88"/>
    <w:rsid w:val="008B279B"/>
    <w:rsid w:val="008B33FC"/>
    <w:rsid w:val="008B3B85"/>
    <w:rsid w:val="008B42E3"/>
    <w:rsid w:val="008B4E8C"/>
    <w:rsid w:val="008B58F6"/>
    <w:rsid w:val="008B60B8"/>
    <w:rsid w:val="008C12BE"/>
    <w:rsid w:val="008C1B93"/>
    <w:rsid w:val="008C22C7"/>
    <w:rsid w:val="008C38EB"/>
    <w:rsid w:val="008C414B"/>
    <w:rsid w:val="008C54EA"/>
    <w:rsid w:val="008C6701"/>
    <w:rsid w:val="008C671C"/>
    <w:rsid w:val="008D2282"/>
    <w:rsid w:val="008D28A9"/>
    <w:rsid w:val="008D3BDF"/>
    <w:rsid w:val="008D7EA2"/>
    <w:rsid w:val="008E0F80"/>
    <w:rsid w:val="008E1CA4"/>
    <w:rsid w:val="008E235E"/>
    <w:rsid w:val="008E3FAA"/>
    <w:rsid w:val="008E737C"/>
    <w:rsid w:val="008F04A3"/>
    <w:rsid w:val="008F05B8"/>
    <w:rsid w:val="008F0C9D"/>
    <w:rsid w:val="008F0D5A"/>
    <w:rsid w:val="008F1C12"/>
    <w:rsid w:val="008F5A4B"/>
    <w:rsid w:val="008F5EF9"/>
    <w:rsid w:val="008F5F6F"/>
    <w:rsid w:val="008F688A"/>
    <w:rsid w:val="00900EC1"/>
    <w:rsid w:val="00901214"/>
    <w:rsid w:val="00904D6D"/>
    <w:rsid w:val="00904EC8"/>
    <w:rsid w:val="00906951"/>
    <w:rsid w:val="00907F4A"/>
    <w:rsid w:val="0091187A"/>
    <w:rsid w:val="00912FBC"/>
    <w:rsid w:val="00913D3B"/>
    <w:rsid w:val="00913F75"/>
    <w:rsid w:val="0091727F"/>
    <w:rsid w:val="00921D05"/>
    <w:rsid w:val="0092257C"/>
    <w:rsid w:val="00923121"/>
    <w:rsid w:val="009314C3"/>
    <w:rsid w:val="009317FD"/>
    <w:rsid w:val="00932230"/>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71C89"/>
    <w:rsid w:val="00973E84"/>
    <w:rsid w:val="00981036"/>
    <w:rsid w:val="00981E5F"/>
    <w:rsid w:val="00983846"/>
    <w:rsid w:val="00990CC8"/>
    <w:rsid w:val="0099227E"/>
    <w:rsid w:val="00993A25"/>
    <w:rsid w:val="009949C5"/>
    <w:rsid w:val="00997C10"/>
    <w:rsid w:val="009A19B2"/>
    <w:rsid w:val="009B3EC0"/>
    <w:rsid w:val="009B5FE8"/>
    <w:rsid w:val="009B62B1"/>
    <w:rsid w:val="009B76C2"/>
    <w:rsid w:val="009C080D"/>
    <w:rsid w:val="009C34A6"/>
    <w:rsid w:val="009C34D8"/>
    <w:rsid w:val="009C3F75"/>
    <w:rsid w:val="009C5293"/>
    <w:rsid w:val="009D3E7E"/>
    <w:rsid w:val="009D41DF"/>
    <w:rsid w:val="009D709E"/>
    <w:rsid w:val="009E0249"/>
    <w:rsid w:val="009E055A"/>
    <w:rsid w:val="009E0F0F"/>
    <w:rsid w:val="009E36AC"/>
    <w:rsid w:val="009E4FB4"/>
    <w:rsid w:val="009E5694"/>
    <w:rsid w:val="009E585B"/>
    <w:rsid w:val="009E7D5A"/>
    <w:rsid w:val="009F040E"/>
    <w:rsid w:val="009F67EB"/>
    <w:rsid w:val="00A01765"/>
    <w:rsid w:val="00A02DD3"/>
    <w:rsid w:val="00A04D6C"/>
    <w:rsid w:val="00A05622"/>
    <w:rsid w:val="00A100B6"/>
    <w:rsid w:val="00A1136A"/>
    <w:rsid w:val="00A11C2D"/>
    <w:rsid w:val="00A16250"/>
    <w:rsid w:val="00A17296"/>
    <w:rsid w:val="00A17D28"/>
    <w:rsid w:val="00A21621"/>
    <w:rsid w:val="00A22457"/>
    <w:rsid w:val="00A228B2"/>
    <w:rsid w:val="00A22900"/>
    <w:rsid w:val="00A27BF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2EAC"/>
    <w:rsid w:val="00A5654D"/>
    <w:rsid w:val="00A5724F"/>
    <w:rsid w:val="00A57F76"/>
    <w:rsid w:val="00A6261F"/>
    <w:rsid w:val="00A62E5E"/>
    <w:rsid w:val="00A662A3"/>
    <w:rsid w:val="00A6661A"/>
    <w:rsid w:val="00A6697F"/>
    <w:rsid w:val="00A71231"/>
    <w:rsid w:val="00A71C8A"/>
    <w:rsid w:val="00A71ED6"/>
    <w:rsid w:val="00A760E0"/>
    <w:rsid w:val="00A77E76"/>
    <w:rsid w:val="00A80090"/>
    <w:rsid w:val="00A82646"/>
    <w:rsid w:val="00A85A64"/>
    <w:rsid w:val="00A9273B"/>
    <w:rsid w:val="00A92D43"/>
    <w:rsid w:val="00A93118"/>
    <w:rsid w:val="00AA3EC5"/>
    <w:rsid w:val="00AA48F5"/>
    <w:rsid w:val="00AA4B39"/>
    <w:rsid w:val="00AA512B"/>
    <w:rsid w:val="00AA608B"/>
    <w:rsid w:val="00AA77C0"/>
    <w:rsid w:val="00AB1CD7"/>
    <w:rsid w:val="00AB1F5C"/>
    <w:rsid w:val="00AB4311"/>
    <w:rsid w:val="00AB49DA"/>
    <w:rsid w:val="00AB59A7"/>
    <w:rsid w:val="00AB68F7"/>
    <w:rsid w:val="00AB6DE2"/>
    <w:rsid w:val="00AC003F"/>
    <w:rsid w:val="00AC06A7"/>
    <w:rsid w:val="00AC077B"/>
    <w:rsid w:val="00AC0C82"/>
    <w:rsid w:val="00AC1F08"/>
    <w:rsid w:val="00AC4B77"/>
    <w:rsid w:val="00AC60ED"/>
    <w:rsid w:val="00AD2373"/>
    <w:rsid w:val="00AD3188"/>
    <w:rsid w:val="00AD3E29"/>
    <w:rsid w:val="00AD4DF3"/>
    <w:rsid w:val="00AD564C"/>
    <w:rsid w:val="00AD7639"/>
    <w:rsid w:val="00AE3182"/>
    <w:rsid w:val="00AE43A3"/>
    <w:rsid w:val="00AF095A"/>
    <w:rsid w:val="00AF1119"/>
    <w:rsid w:val="00AF5408"/>
    <w:rsid w:val="00AF59C3"/>
    <w:rsid w:val="00AF7F59"/>
    <w:rsid w:val="00B00FD7"/>
    <w:rsid w:val="00B011BB"/>
    <w:rsid w:val="00B012F2"/>
    <w:rsid w:val="00B0163B"/>
    <w:rsid w:val="00B04312"/>
    <w:rsid w:val="00B04BFC"/>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47BC"/>
    <w:rsid w:val="00B46C52"/>
    <w:rsid w:val="00B514D3"/>
    <w:rsid w:val="00B51BC7"/>
    <w:rsid w:val="00B52134"/>
    <w:rsid w:val="00B56063"/>
    <w:rsid w:val="00B570B0"/>
    <w:rsid w:val="00B57714"/>
    <w:rsid w:val="00B61620"/>
    <w:rsid w:val="00B64061"/>
    <w:rsid w:val="00B65BB6"/>
    <w:rsid w:val="00B7048C"/>
    <w:rsid w:val="00B7114F"/>
    <w:rsid w:val="00B71D8A"/>
    <w:rsid w:val="00B73F7D"/>
    <w:rsid w:val="00B743B9"/>
    <w:rsid w:val="00B768D7"/>
    <w:rsid w:val="00B778A3"/>
    <w:rsid w:val="00B809F3"/>
    <w:rsid w:val="00B85932"/>
    <w:rsid w:val="00B87588"/>
    <w:rsid w:val="00B92474"/>
    <w:rsid w:val="00BA2419"/>
    <w:rsid w:val="00BB0F2F"/>
    <w:rsid w:val="00BB1C66"/>
    <w:rsid w:val="00BB2530"/>
    <w:rsid w:val="00BB3596"/>
    <w:rsid w:val="00BB524D"/>
    <w:rsid w:val="00BB5385"/>
    <w:rsid w:val="00BB5653"/>
    <w:rsid w:val="00BB6E3C"/>
    <w:rsid w:val="00BC06CF"/>
    <w:rsid w:val="00BC133D"/>
    <w:rsid w:val="00BC3E9C"/>
    <w:rsid w:val="00BC4AF5"/>
    <w:rsid w:val="00BC5AA5"/>
    <w:rsid w:val="00BC7CC2"/>
    <w:rsid w:val="00BD049F"/>
    <w:rsid w:val="00BD080B"/>
    <w:rsid w:val="00BD0CC5"/>
    <w:rsid w:val="00BD0E9D"/>
    <w:rsid w:val="00BD218A"/>
    <w:rsid w:val="00BD399A"/>
    <w:rsid w:val="00BD557E"/>
    <w:rsid w:val="00BD5B18"/>
    <w:rsid w:val="00BD5F64"/>
    <w:rsid w:val="00BE0201"/>
    <w:rsid w:val="00BE3232"/>
    <w:rsid w:val="00BE520C"/>
    <w:rsid w:val="00BF16AD"/>
    <w:rsid w:val="00BF2C8B"/>
    <w:rsid w:val="00BF34A7"/>
    <w:rsid w:val="00BF3B14"/>
    <w:rsid w:val="00BF4ED9"/>
    <w:rsid w:val="00BF6218"/>
    <w:rsid w:val="00C00EA2"/>
    <w:rsid w:val="00C011EE"/>
    <w:rsid w:val="00C02535"/>
    <w:rsid w:val="00C0352A"/>
    <w:rsid w:val="00C04229"/>
    <w:rsid w:val="00C0425B"/>
    <w:rsid w:val="00C05811"/>
    <w:rsid w:val="00C0712B"/>
    <w:rsid w:val="00C07BEF"/>
    <w:rsid w:val="00C1015B"/>
    <w:rsid w:val="00C103A1"/>
    <w:rsid w:val="00C10A10"/>
    <w:rsid w:val="00C10D6A"/>
    <w:rsid w:val="00C10EC0"/>
    <w:rsid w:val="00C13B9C"/>
    <w:rsid w:val="00C14063"/>
    <w:rsid w:val="00C147F4"/>
    <w:rsid w:val="00C15102"/>
    <w:rsid w:val="00C15A56"/>
    <w:rsid w:val="00C20353"/>
    <w:rsid w:val="00C22F0A"/>
    <w:rsid w:val="00C2325B"/>
    <w:rsid w:val="00C255F5"/>
    <w:rsid w:val="00C25B1C"/>
    <w:rsid w:val="00C25C09"/>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630B"/>
    <w:rsid w:val="00C47839"/>
    <w:rsid w:val="00C50166"/>
    <w:rsid w:val="00C502FF"/>
    <w:rsid w:val="00C5475B"/>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8E6"/>
    <w:rsid w:val="00C73BD7"/>
    <w:rsid w:val="00C80CAC"/>
    <w:rsid w:val="00C84B80"/>
    <w:rsid w:val="00C8516B"/>
    <w:rsid w:val="00C854C1"/>
    <w:rsid w:val="00C85B81"/>
    <w:rsid w:val="00C87262"/>
    <w:rsid w:val="00C9178F"/>
    <w:rsid w:val="00C93F76"/>
    <w:rsid w:val="00C9655A"/>
    <w:rsid w:val="00C96FCA"/>
    <w:rsid w:val="00C9754D"/>
    <w:rsid w:val="00C975DF"/>
    <w:rsid w:val="00CA50FD"/>
    <w:rsid w:val="00CA5D84"/>
    <w:rsid w:val="00CB23E4"/>
    <w:rsid w:val="00CC1960"/>
    <w:rsid w:val="00CC3CF4"/>
    <w:rsid w:val="00CC3E33"/>
    <w:rsid w:val="00CD4F70"/>
    <w:rsid w:val="00CE1CF3"/>
    <w:rsid w:val="00CE43FD"/>
    <w:rsid w:val="00CE70F3"/>
    <w:rsid w:val="00CE7659"/>
    <w:rsid w:val="00CF0E18"/>
    <w:rsid w:val="00CF0E3D"/>
    <w:rsid w:val="00CF1E8C"/>
    <w:rsid w:val="00CF29A4"/>
    <w:rsid w:val="00CF2F2E"/>
    <w:rsid w:val="00CF5B28"/>
    <w:rsid w:val="00CF624D"/>
    <w:rsid w:val="00CF6E34"/>
    <w:rsid w:val="00D0495F"/>
    <w:rsid w:val="00D05D89"/>
    <w:rsid w:val="00D066D9"/>
    <w:rsid w:val="00D076EF"/>
    <w:rsid w:val="00D108C5"/>
    <w:rsid w:val="00D10D7A"/>
    <w:rsid w:val="00D1187F"/>
    <w:rsid w:val="00D11C2D"/>
    <w:rsid w:val="00D1618D"/>
    <w:rsid w:val="00D167B1"/>
    <w:rsid w:val="00D16D1B"/>
    <w:rsid w:val="00D21F66"/>
    <w:rsid w:val="00D22220"/>
    <w:rsid w:val="00D24B66"/>
    <w:rsid w:val="00D24C22"/>
    <w:rsid w:val="00D25199"/>
    <w:rsid w:val="00D26476"/>
    <w:rsid w:val="00D31492"/>
    <w:rsid w:val="00D3478B"/>
    <w:rsid w:val="00D35E12"/>
    <w:rsid w:val="00D413DD"/>
    <w:rsid w:val="00D4189D"/>
    <w:rsid w:val="00D422B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5E5"/>
    <w:rsid w:val="00D74C5F"/>
    <w:rsid w:val="00D753F3"/>
    <w:rsid w:val="00D9045B"/>
    <w:rsid w:val="00D90EA9"/>
    <w:rsid w:val="00D93723"/>
    <w:rsid w:val="00D941C3"/>
    <w:rsid w:val="00D94A99"/>
    <w:rsid w:val="00D95324"/>
    <w:rsid w:val="00D95482"/>
    <w:rsid w:val="00DA0390"/>
    <w:rsid w:val="00DA08CD"/>
    <w:rsid w:val="00DA1940"/>
    <w:rsid w:val="00DA3C3C"/>
    <w:rsid w:val="00DB05EC"/>
    <w:rsid w:val="00DB166E"/>
    <w:rsid w:val="00DB3D8C"/>
    <w:rsid w:val="00DB3E4C"/>
    <w:rsid w:val="00DB43B8"/>
    <w:rsid w:val="00DB783D"/>
    <w:rsid w:val="00DB7BD1"/>
    <w:rsid w:val="00DB7C8A"/>
    <w:rsid w:val="00DC1052"/>
    <w:rsid w:val="00DC2DC5"/>
    <w:rsid w:val="00DC341B"/>
    <w:rsid w:val="00DC4D4A"/>
    <w:rsid w:val="00DC77F0"/>
    <w:rsid w:val="00DD2BCD"/>
    <w:rsid w:val="00DD35E7"/>
    <w:rsid w:val="00DD5486"/>
    <w:rsid w:val="00DD650E"/>
    <w:rsid w:val="00DD7968"/>
    <w:rsid w:val="00DE0B7E"/>
    <w:rsid w:val="00DE1418"/>
    <w:rsid w:val="00DE2205"/>
    <w:rsid w:val="00DE2E05"/>
    <w:rsid w:val="00DE421E"/>
    <w:rsid w:val="00DE5454"/>
    <w:rsid w:val="00DE771E"/>
    <w:rsid w:val="00DE7F41"/>
    <w:rsid w:val="00DF0F50"/>
    <w:rsid w:val="00DF2309"/>
    <w:rsid w:val="00DF28DC"/>
    <w:rsid w:val="00DF3915"/>
    <w:rsid w:val="00DF44AC"/>
    <w:rsid w:val="00DF4CE2"/>
    <w:rsid w:val="00E001C0"/>
    <w:rsid w:val="00E0168F"/>
    <w:rsid w:val="00E1002F"/>
    <w:rsid w:val="00E12071"/>
    <w:rsid w:val="00E12660"/>
    <w:rsid w:val="00E12838"/>
    <w:rsid w:val="00E15BBF"/>
    <w:rsid w:val="00E15ECD"/>
    <w:rsid w:val="00E23F00"/>
    <w:rsid w:val="00E2599A"/>
    <w:rsid w:val="00E26A0F"/>
    <w:rsid w:val="00E318D4"/>
    <w:rsid w:val="00E33648"/>
    <w:rsid w:val="00E339EE"/>
    <w:rsid w:val="00E3557A"/>
    <w:rsid w:val="00E4014C"/>
    <w:rsid w:val="00E401FC"/>
    <w:rsid w:val="00E42D1B"/>
    <w:rsid w:val="00E4558E"/>
    <w:rsid w:val="00E46C0B"/>
    <w:rsid w:val="00E46FAB"/>
    <w:rsid w:val="00E474DC"/>
    <w:rsid w:val="00E5155C"/>
    <w:rsid w:val="00E5385B"/>
    <w:rsid w:val="00E55EA9"/>
    <w:rsid w:val="00E56307"/>
    <w:rsid w:val="00E56D55"/>
    <w:rsid w:val="00E56F52"/>
    <w:rsid w:val="00E57D47"/>
    <w:rsid w:val="00E57F76"/>
    <w:rsid w:val="00E60549"/>
    <w:rsid w:val="00E60696"/>
    <w:rsid w:val="00E6152A"/>
    <w:rsid w:val="00E62028"/>
    <w:rsid w:val="00E6393C"/>
    <w:rsid w:val="00E67E51"/>
    <w:rsid w:val="00E76BE0"/>
    <w:rsid w:val="00E7790B"/>
    <w:rsid w:val="00E81714"/>
    <w:rsid w:val="00E908B2"/>
    <w:rsid w:val="00E91546"/>
    <w:rsid w:val="00E91678"/>
    <w:rsid w:val="00E9206E"/>
    <w:rsid w:val="00E93438"/>
    <w:rsid w:val="00E93E26"/>
    <w:rsid w:val="00E93F64"/>
    <w:rsid w:val="00E96092"/>
    <w:rsid w:val="00E966E8"/>
    <w:rsid w:val="00E96737"/>
    <w:rsid w:val="00EA0668"/>
    <w:rsid w:val="00EA127F"/>
    <w:rsid w:val="00EA1F53"/>
    <w:rsid w:val="00EA2E5B"/>
    <w:rsid w:val="00EA4376"/>
    <w:rsid w:val="00EA70DC"/>
    <w:rsid w:val="00EB01FF"/>
    <w:rsid w:val="00EB06C6"/>
    <w:rsid w:val="00EB0CAC"/>
    <w:rsid w:val="00EB1B47"/>
    <w:rsid w:val="00EB2862"/>
    <w:rsid w:val="00EB46E1"/>
    <w:rsid w:val="00EB7BD6"/>
    <w:rsid w:val="00EC20FD"/>
    <w:rsid w:val="00EC2EF8"/>
    <w:rsid w:val="00EC3DAC"/>
    <w:rsid w:val="00EC42FF"/>
    <w:rsid w:val="00EC50CC"/>
    <w:rsid w:val="00EC5A73"/>
    <w:rsid w:val="00ED3B7C"/>
    <w:rsid w:val="00ED3D0C"/>
    <w:rsid w:val="00ED4AEF"/>
    <w:rsid w:val="00ED570E"/>
    <w:rsid w:val="00ED5CFE"/>
    <w:rsid w:val="00ED7D8C"/>
    <w:rsid w:val="00EE005A"/>
    <w:rsid w:val="00EE05CF"/>
    <w:rsid w:val="00EE10AE"/>
    <w:rsid w:val="00EE1EC8"/>
    <w:rsid w:val="00EE2DA2"/>
    <w:rsid w:val="00EE38F6"/>
    <w:rsid w:val="00EE4290"/>
    <w:rsid w:val="00EE5210"/>
    <w:rsid w:val="00EE589E"/>
    <w:rsid w:val="00EE76D0"/>
    <w:rsid w:val="00EE7C89"/>
    <w:rsid w:val="00EF1185"/>
    <w:rsid w:val="00EF738C"/>
    <w:rsid w:val="00EF754D"/>
    <w:rsid w:val="00F027E9"/>
    <w:rsid w:val="00F05664"/>
    <w:rsid w:val="00F0775E"/>
    <w:rsid w:val="00F15F69"/>
    <w:rsid w:val="00F1612D"/>
    <w:rsid w:val="00F173DD"/>
    <w:rsid w:val="00F21119"/>
    <w:rsid w:val="00F21853"/>
    <w:rsid w:val="00F23FD7"/>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2729"/>
    <w:rsid w:val="00F7290D"/>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1BEA"/>
    <w:rsid w:val="00FA597D"/>
    <w:rsid w:val="00FA5B9A"/>
    <w:rsid w:val="00FB01B9"/>
    <w:rsid w:val="00FB3AA3"/>
    <w:rsid w:val="00FB763A"/>
    <w:rsid w:val="00FB79C0"/>
    <w:rsid w:val="00FC0E4F"/>
    <w:rsid w:val="00FC2EB8"/>
    <w:rsid w:val="00FC5C43"/>
    <w:rsid w:val="00FD1598"/>
    <w:rsid w:val="00FD576E"/>
    <w:rsid w:val="00FD596B"/>
    <w:rsid w:val="00FE58CC"/>
    <w:rsid w:val="00FE66C3"/>
    <w:rsid w:val="00FE75A9"/>
    <w:rsid w:val="00FF02FE"/>
    <w:rsid w:val="00FF058D"/>
    <w:rsid w:val="00FF1980"/>
    <w:rsid w:val="00FF1D8E"/>
    <w:rsid w:val="00FF2440"/>
    <w:rsid w:val="00FF322C"/>
    <w:rsid w:val="00FF3922"/>
    <w:rsid w:val="00FF3CDE"/>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A19FE0"/>
  <w15:docId w15:val="{CB63E22F-5AE6-4888-B626-297A98AD8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table" w:customStyle="1" w:styleId="TableGrid1">
    <w:name w:val="Table Grid1"/>
    <w:basedOn w:val="TableNormal"/>
    <w:next w:val="TableGrid"/>
    <w:rsid w:val="00293BE0"/>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19652809">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hyperlink" Target="https://doi.org/10.18037/ausbd.92732" TargetMode="External"/><Relationship Id="rId18" Type="http://schemas.openxmlformats.org/officeDocument/2006/relationships/hyperlink" Target="javascript:void(0)"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dx.doi.org/10.17051/io.2016.32423" TargetMode="External"/><Relationship Id="rId7" Type="http://schemas.openxmlformats.org/officeDocument/2006/relationships/endnotes" Target="endnotes.xml"/><Relationship Id="rId12" Type="http://schemas.openxmlformats.org/officeDocument/2006/relationships/hyperlink" Target="https://www.researchgate.net/deref/http%3A%2F%2Fdx.doi.org%2F10.17051%2Filkonline.2019.632374?_sg%5B0%5D=sxXUKwptyReJjBH1cyO8WN_1kxF42ltFL38OObyY5rUMzZCJJ7q2E0QZr_VQXitHmZytFb0TNcP4E8fIwSlT5I1TSQ.EKFVkBm-HItrAinc58EHBp-8n_BFnzxJRPYJuBdNWpC7zuwy4_RAei-nSqUlD9nH4X9HGN3Ypyz1yWiFIkotMw" TargetMode="External"/><Relationship Id="rId17" Type="http://schemas.openxmlformats.org/officeDocument/2006/relationships/hyperlink" Target="https://doi.org/10.14786/flr.v5i1.266"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80/1034912X.2012.723944" TargetMode="External"/><Relationship Id="rId20" Type="http://schemas.openxmlformats.org/officeDocument/2006/relationships/hyperlink" Target="https://doi.org/10.1016/j.edurev.2014.12.00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serin@eul.edu.tr"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80/03055698.2010.506319"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eul.edu.tr/en/academic/faculties/dr-fazil-kucuk-faculty-of-education/guidance-and-psychological-counseling/" TargetMode="External"/><Relationship Id="rId19" Type="http://schemas.openxmlformats.org/officeDocument/2006/relationships/hyperlink" Target="http://dx.doi.org/10.7827/TurkishStudi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2307%2F1593650" TargetMode="External"/><Relationship Id="rId22" Type="http://schemas.openxmlformats.org/officeDocument/2006/relationships/hyperlink" Target="https://doi.org/10.1177%2F10534512070420030401"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8E196-E49B-4DC9-9812-F880E43DE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8</Pages>
  <Words>5523</Words>
  <Characters>31484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IJERE</vt:lpstr>
    </vt:vector>
  </TitlesOfParts>
  <Company>cairo</Company>
  <LinksUpToDate>false</LinksUpToDate>
  <CharactersWithSpaces>36934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IJERE</dc:title>
  <dc:creator>Windows User</dc:creator>
  <cp:lastModifiedBy>Windows User</cp:lastModifiedBy>
  <cp:revision>187</cp:revision>
  <cp:lastPrinted>2004-12-30T03:27:00Z</cp:lastPrinted>
  <dcterms:created xsi:type="dcterms:W3CDTF">2021-02-15T02:17:00Z</dcterms:created>
  <dcterms:modified xsi:type="dcterms:W3CDTF">2021-03-10T20:25:00Z</dcterms:modified>
</cp:coreProperties>
</file>