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66" w:rsidRPr="003D5B84" w:rsidRDefault="00F606F8" w:rsidP="00904D6D">
      <w:pPr>
        <w:jc w:val="center"/>
        <w:rPr>
          <w:b/>
          <w:bCs/>
        </w:rPr>
      </w:pPr>
      <w:r w:rsidRPr="0077168B">
        <w:rPr>
          <w:b/>
          <w:sz w:val="32"/>
          <w:szCs w:val="32"/>
        </w:rPr>
        <w:t>THE IMPROVEMENT OF KNOWLEDGE AND ATTITUDE ABOUT RISKY PREGNANCY</w:t>
      </w:r>
    </w:p>
    <w:p w:rsidR="00904D6D" w:rsidRPr="00170BF5" w:rsidRDefault="003D5196" w:rsidP="00904D6D">
      <w:pPr>
        <w:jc w:val="center"/>
        <w:rPr>
          <w:b/>
          <w:bCs/>
          <w:lang w:val="id-ID"/>
        </w:rPr>
      </w:pPr>
      <w:r>
        <w:rPr>
          <w:b/>
          <w:bCs/>
          <w:lang w:val="id-ID"/>
        </w:rPr>
        <w:t>Suci Musvita Ayu</w:t>
      </w:r>
      <w:r w:rsidR="00530415" w:rsidRPr="00530415">
        <w:rPr>
          <w:b/>
          <w:bCs/>
          <w:vertAlign w:val="superscript"/>
        </w:rPr>
        <w:t>1</w:t>
      </w:r>
      <w:r w:rsidR="00170BF5">
        <w:rPr>
          <w:b/>
          <w:bCs/>
          <w:lang w:val="id-ID"/>
        </w:rPr>
        <w:t>, Lindawati S</w:t>
      </w:r>
      <w:r w:rsidR="00530415" w:rsidRPr="00530415">
        <w:rPr>
          <w:b/>
          <w:bCs/>
          <w:vertAlign w:val="superscript"/>
        </w:rPr>
        <w:t>2</w:t>
      </w:r>
      <w:r w:rsidR="00170BF5">
        <w:rPr>
          <w:b/>
          <w:bCs/>
          <w:lang w:val="id-ID"/>
        </w:rPr>
        <w:t>, Thoharoh Halimatusa’diyah</w:t>
      </w:r>
      <w:r w:rsidR="00170BF5">
        <w:rPr>
          <w:b/>
          <w:bCs/>
          <w:vertAlign w:val="superscript"/>
        </w:rPr>
        <w:t>3</w:t>
      </w:r>
    </w:p>
    <w:p w:rsidR="00904D6D" w:rsidRPr="00E2599A" w:rsidRDefault="00530415" w:rsidP="00E2599A">
      <w:pPr>
        <w:jc w:val="center"/>
        <w:rPr>
          <w:sz w:val="18"/>
          <w:szCs w:val="18"/>
        </w:rPr>
      </w:pPr>
      <w:r w:rsidRPr="00530415">
        <w:rPr>
          <w:sz w:val="18"/>
          <w:szCs w:val="18"/>
          <w:vertAlign w:val="superscript"/>
        </w:rPr>
        <w:t>1</w:t>
      </w:r>
      <w:proofErr w:type="gramStart"/>
      <w:r w:rsidRPr="00530415">
        <w:rPr>
          <w:sz w:val="18"/>
          <w:szCs w:val="18"/>
          <w:vertAlign w:val="superscript"/>
        </w:rPr>
        <w:t>,</w:t>
      </w:r>
      <w:r w:rsidR="003D5196">
        <w:rPr>
          <w:sz w:val="18"/>
          <w:szCs w:val="18"/>
          <w:vertAlign w:val="superscript"/>
          <w:lang w:val="id-ID"/>
        </w:rPr>
        <w:t>2,</w:t>
      </w:r>
      <w:r>
        <w:rPr>
          <w:sz w:val="18"/>
          <w:szCs w:val="18"/>
          <w:vertAlign w:val="superscript"/>
        </w:rPr>
        <w:t>3</w:t>
      </w:r>
      <w:r w:rsidR="0085352C">
        <w:rPr>
          <w:sz w:val="18"/>
          <w:szCs w:val="18"/>
        </w:rPr>
        <w:t>Depart</w:t>
      </w:r>
      <w:r w:rsidR="00E2599A" w:rsidRPr="00E2599A">
        <w:rPr>
          <w:sz w:val="18"/>
          <w:szCs w:val="18"/>
        </w:rPr>
        <w:t>ment</w:t>
      </w:r>
      <w:proofErr w:type="gramEnd"/>
      <w:r w:rsidR="00E2599A" w:rsidRPr="00E2599A">
        <w:rPr>
          <w:sz w:val="18"/>
          <w:szCs w:val="18"/>
        </w:rPr>
        <w:t xml:space="preserve"> of</w:t>
      </w:r>
      <w:r w:rsidR="003D5196">
        <w:rPr>
          <w:sz w:val="18"/>
          <w:szCs w:val="18"/>
          <w:lang w:val="id-ID"/>
        </w:rPr>
        <w:t xml:space="preserve"> Public Health, Ahmad Dahlan University, Yogyakarta, Indonesia</w:t>
      </w:r>
      <w:r w:rsidR="003D5196">
        <w:rPr>
          <w:sz w:val="18"/>
          <w:szCs w:val="18"/>
        </w:rPr>
        <w:t xml:space="preserve"> </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r w:rsidR="0085352C">
              <w:t>Jun</w:t>
            </w:r>
            <w:r w:rsidR="00FF3922">
              <w:t xml:space="preserve"> 9</w:t>
            </w:r>
            <w:r>
              <w:t>, 201</w:t>
            </w:r>
            <w:r w:rsidR="00DC1052">
              <w:t>8</w:t>
            </w:r>
          </w:p>
          <w:p w:rsidR="00941203" w:rsidRDefault="00941203" w:rsidP="00957C11">
            <w:pPr>
              <w:jc w:val="both"/>
            </w:pPr>
            <w:r>
              <w:t xml:space="preserve">Revised </w:t>
            </w:r>
            <w:r w:rsidR="0085352C">
              <w:t>Nov</w:t>
            </w:r>
            <w:r w:rsidR="00091730">
              <w:t xml:space="preserve"> 2</w:t>
            </w:r>
            <w:r w:rsidR="0085352C">
              <w:t>0</w:t>
            </w:r>
            <w:r>
              <w:t>, 201</w:t>
            </w:r>
            <w:r w:rsidR="00DC1052">
              <w:t>8</w:t>
            </w:r>
          </w:p>
          <w:p w:rsidR="00941203" w:rsidRDefault="00941203" w:rsidP="00957C11">
            <w:pPr>
              <w:jc w:val="both"/>
            </w:pPr>
            <w:r>
              <w:t xml:space="preserve">Accepted </w:t>
            </w:r>
            <w:r w:rsidR="0085352C">
              <w:t>Dec 11</w:t>
            </w:r>
            <w:r>
              <w:t>, 201</w:t>
            </w:r>
            <w:r w:rsidR="00DC1052">
              <w:t>8</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F606F8" w:rsidRPr="0077168B" w:rsidRDefault="00F606F8" w:rsidP="00F606F8">
            <w:pPr>
              <w:jc w:val="both"/>
              <w:rPr>
                <w:sz w:val="18"/>
                <w:szCs w:val="18"/>
                <w:lang w:val="id-ID"/>
              </w:rPr>
            </w:pPr>
            <w:r w:rsidRPr="0077168B">
              <w:rPr>
                <w:sz w:val="18"/>
                <w:szCs w:val="18"/>
                <w:lang w:val="id-ID"/>
              </w:rPr>
              <w:t>This study was conducted to look at the effect of counseling on</w:t>
            </w:r>
            <w:r w:rsidRPr="0077168B">
              <w:rPr>
                <w:sz w:val="18"/>
                <w:szCs w:val="18"/>
              </w:rPr>
              <w:t xml:space="preserve"> the</w:t>
            </w:r>
            <w:r w:rsidRPr="0077168B">
              <w:rPr>
                <w:sz w:val="18"/>
                <w:szCs w:val="18"/>
                <w:lang w:val="id-ID"/>
              </w:rPr>
              <w:t xml:space="preserve"> increasing knowledge and attitudes about risky pregnancies at SMK Muhammadiyah 1 Wonosobo.</w:t>
            </w:r>
          </w:p>
          <w:p w:rsidR="00F606F8" w:rsidRPr="0077168B" w:rsidRDefault="00F606F8" w:rsidP="00F606F8">
            <w:pPr>
              <w:jc w:val="both"/>
              <w:rPr>
                <w:sz w:val="18"/>
                <w:szCs w:val="18"/>
              </w:rPr>
            </w:pPr>
            <w:r w:rsidRPr="0077168B">
              <w:rPr>
                <w:sz w:val="18"/>
                <w:szCs w:val="18"/>
              </w:rPr>
              <w:t>This research is a quasi-experimental research using quasi experiment design with a one group pretest-posttest design approach that aims to determine the effects arising as a result of the existence of certain treatments. Measurements were made before and after treatment, by doing a pretest and posttest. The population in this study consists of students of Grade X and XI, amounting to 900, with a sample of 108 students. The instrument in this study is the questionnaire.</w:t>
            </w:r>
          </w:p>
          <w:p w:rsidR="00F606F8" w:rsidRPr="0077168B" w:rsidRDefault="00F606F8" w:rsidP="00F606F8">
            <w:pPr>
              <w:pStyle w:val="BodyText"/>
              <w:spacing w:after="0"/>
              <w:jc w:val="both"/>
              <w:rPr>
                <w:color w:val="000000" w:themeColor="text1"/>
                <w:sz w:val="18"/>
                <w:szCs w:val="18"/>
              </w:rPr>
            </w:pPr>
            <w:r w:rsidRPr="0077168B">
              <w:rPr>
                <w:color w:val="000000" w:themeColor="text1"/>
                <w:sz w:val="18"/>
                <w:szCs w:val="18"/>
              </w:rPr>
              <w:t>The results of the knowledge variable showed a significant value of 0.003 (p &lt;0.05). These results prove that after the intervention, there is an influence of counseling on the level of knowledge about risky pregnancies at SMK Muhammadiyah 1 Wonosobo. The results of the attitude variable showed a significant value of 0.010 (p &lt;0.05). These results prove that after the intervention, there is the effect of counseling on attitudes about risky pregnancies in SMK Muhammadiyah 1 Wonosobo.</w:t>
            </w:r>
          </w:p>
          <w:p w:rsidR="00941203" w:rsidRPr="00874279" w:rsidRDefault="00F606F8" w:rsidP="00F606F8">
            <w:pPr>
              <w:autoSpaceDE w:val="0"/>
              <w:autoSpaceDN w:val="0"/>
              <w:adjustRightInd w:val="0"/>
              <w:jc w:val="both"/>
              <w:rPr>
                <w:sz w:val="18"/>
                <w:szCs w:val="18"/>
              </w:rPr>
            </w:pPr>
            <w:r w:rsidRPr="0077168B">
              <w:rPr>
                <w:sz w:val="18"/>
                <w:szCs w:val="18"/>
              </w:rPr>
              <w:t xml:space="preserve">There is an effect of reproductive health counseling on increasing knowledge and attitudes about risky pregnancy at SMK </w:t>
            </w:r>
            <w:proofErr w:type="spellStart"/>
            <w:r w:rsidRPr="0077168B">
              <w:rPr>
                <w:sz w:val="18"/>
                <w:szCs w:val="18"/>
              </w:rPr>
              <w:t>Muhammadiyah</w:t>
            </w:r>
            <w:proofErr w:type="spellEnd"/>
            <w:r w:rsidRPr="0077168B">
              <w:rPr>
                <w:sz w:val="18"/>
                <w:szCs w:val="18"/>
              </w:rPr>
              <w:t xml:space="preserve"> 1 </w:t>
            </w:r>
            <w:proofErr w:type="spellStart"/>
            <w:r w:rsidRPr="0077168B">
              <w:rPr>
                <w:sz w:val="18"/>
                <w:szCs w:val="18"/>
              </w:rPr>
              <w:t>Wonosobo</w:t>
            </w:r>
            <w:proofErr w:type="spellEnd"/>
            <w:r w:rsidRPr="0077168B">
              <w:rPr>
                <w:sz w:val="18"/>
                <w:szCs w:val="18"/>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rsidR="00941203" w:rsidRDefault="003D5196" w:rsidP="00941203">
            <w:pPr>
              <w:jc w:val="both"/>
              <w:rPr>
                <w:lang w:val="id-ID"/>
              </w:rPr>
            </w:pPr>
            <w:r>
              <w:rPr>
                <w:lang w:val="id-ID"/>
              </w:rPr>
              <w:t>Behavior</w:t>
            </w:r>
          </w:p>
          <w:p w:rsidR="00897BFC" w:rsidRDefault="00897BFC" w:rsidP="00941203">
            <w:pPr>
              <w:jc w:val="both"/>
              <w:rPr>
                <w:lang w:val="id-ID"/>
              </w:rPr>
            </w:pPr>
            <w:r>
              <w:rPr>
                <w:lang w:val="id-ID"/>
              </w:rPr>
              <w:t>Improvement Knowledge</w:t>
            </w:r>
          </w:p>
          <w:p w:rsidR="00897BFC" w:rsidRDefault="00897BFC" w:rsidP="00941203">
            <w:pPr>
              <w:jc w:val="both"/>
              <w:rPr>
                <w:lang w:val="id-ID"/>
              </w:rPr>
            </w:pPr>
            <w:r>
              <w:rPr>
                <w:lang w:val="id-ID"/>
              </w:rPr>
              <w:t>Improvemen</w:t>
            </w:r>
            <w:r>
              <w:rPr>
                <w:lang w:val="id-ID"/>
              </w:rPr>
              <w:t>t Attitude</w:t>
            </w:r>
          </w:p>
          <w:p w:rsidR="00897BFC" w:rsidRDefault="003D5196" w:rsidP="00941203">
            <w:pPr>
              <w:jc w:val="both"/>
              <w:rPr>
                <w:lang w:val="id-ID"/>
              </w:rPr>
            </w:pPr>
            <w:r>
              <w:rPr>
                <w:lang w:val="id-ID"/>
              </w:rPr>
              <w:t>Teenager</w:t>
            </w:r>
          </w:p>
          <w:p w:rsidR="00897BFC" w:rsidRPr="003D5196" w:rsidRDefault="00897BFC" w:rsidP="00941203">
            <w:pPr>
              <w:jc w:val="both"/>
              <w:rPr>
                <w:lang w:val="id-ID"/>
              </w:rPr>
            </w:pPr>
            <w:r>
              <w:rPr>
                <w:lang w:val="id-ID"/>
              </w:rPr>
              <w:t>Risky Pregnancy</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091730">
            <w:pPr>
              <w:spacing w:before="120" w:after="120"/>
              <w:jc w:val="right"/>
              <w:rPr>
                <w:i/>
                <w:iCs/>
                <w:color w:val="000000"/>
                <w:sz w:val="18"/>
                <w:szCs w:val="18"/>
              </w:rPr>
            </w:pPr>
            <w:r>
              <w:rPr>
                <w:i/>
                <w:iCs/>
                <w:color w:val="000000"/>
                <w:sz w:val="18"/>
                <w:szCs w:val="18"/>
              </w:rPr>
              <w:t>Copyright © 201</w:t>
            </w:r>
            <w:r w:rsidR="001E31DF">
              <w:rPr>
                <w:i/>
                <w:iCs/>
                <w:color w:val="000000"/>
                <w:sz w:val="18"/>
                <w:szCs w:val="18"/>
              </w:rPr>
              <w:t>9</w:t>
            </w:r>
            <w:r w:rsidR="00E57D47">
              <w:rPr>
                <w:i/>
                <w:iCs/>
                <w:color w:val="000000"/>
                <w:sz w:val="18"/>
                <w:szCs w:val="18"/>
              </w:rPr>
              <w:t xml:space="preserve"> </w:t>
            </w:r>
            <w:r>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3D5196" w:rsidP="007F286F">
            <w:r>
              <w:rPr>
                <w:lang w:val="id-ID"/>
              </w:rPr>
              <w:t>Suci Musvita Ayu</w:t>
            </w:r>
            <w:r w:rsidR="007F286F">
              <w:t xml:space="preserve">, </w:t>
            </w:r>
          </w:p>
          <w:p w:rsidR="007F286F" w:rsidRDefault="0085352C" w:rsidP="007F286F">
            <w:r>
              <w:t>Depart</w:t>
            </w:r>
            <w:r w:rsidR="003D5196">
              <w:t xml:space="preserve">ment of </w:t>
            </w:r>
            <w:r w:rsidR="003D5196">
              <w:rPr>
                <w:lang w:val="id-ID"/>
              </w:rPr>
              <w:t>Public Health</w:t>
            </w:r>
            <w:r w:rsidR="00941203">
              <w:t>,</w:t>
            </w:r>
          </w:p>
          <w:p w:rsidR="007F286F" w:rsidRDefault="003D5196" w:rsidP="007F286F">
            <w:r>
              <w:rPr>
                <w:lang w:val="id-ID"/>
              </w:rPr>
              <w:t xml:space="preserve">Ahmad Dahlan </w:t>
            </w:r>
            <w:r w:rsidR="007F286F">
              <w:t>University</w:t>
            </w:r>
            <w:r w:rsidR="00941203">
              <w:t>,</w:t>
            </w:r>
          </w:p>
          <w:p w:rsidR="007F286F" w:rsidRDefault="00A10A7A" w:rsidP="007F286F">
            <w:r>
              <w:rPr>
                <w:lang w:val="id-ID"/>
              </w:rPr>
              <w:t>Jl.Prof. Dr. Soepomo, Janturan, Yogyakarta (55164)</w:t>
            </w:r>
            <w:r w:rsidR="00941203">
              <w:t>.</w:t>
            </w:r>
          </w:p>
          <w:p w:rsidR="00941203" w:rsidRPr="00957C11" w:rsidRDefault="00A10A7A" w:rsidP="006B027E">
            <w:pPr>
              <w:spacing w:after="120"/>
              <w:rPr>
                <w:color w:val="000000"/>
                <w:sz w:val="18"/>
                <w:szCs w:val="18"/>
              </w:rPr>
            </w:pPr>
            <w:r>
              <w:t xml:space="preserve">Email: </w:t>
            </w:r>
            <w:hyperlink r:id="rId9" w:history="1">
              <w:r w:rsidRPr="00B574AF">
                <w:rPr>
                  <w:rStyle w:val="Hyperlink"/>
                </w:rPr>
                <w:t>suci.ayu@ikm.uad.ac.id</w:t>
              </w:r>
            </w:hyperlink>
          </w:p>
        </w:tc>
      </w:tr>
    </w:tbl>
    <w:p w:rsidR="00957C11" w:rsidRDefault="00957C11" w:rsidP="00957C11">
      <w:pPr>
        <w:jc w:val="both"/>
      </w:pPr>
    </w:p>
    <w:p w:rsidR="00C07BEF" w:rsidRPr="00957C11" w:rsidRDefault="00C07BEF" w:rsidP="00957C11">
      <w:pPr>
        <w:jc w:val="both"/>
      </w:pPr>
    </w:p>
    <w:p w:rsidR="00F606F8" w:rsidRDefault="00F33C08" w:rsidP="006C6261">
      <w:pPr>
        <w:numPr>
          <w:ilvl w:val="0"/>
          <w:numId w:val="4"/>
        </w:numPr>
        <w:tabs>
          <w:tab w:val="left" w:pos="426"/>
        </w:tabs>
        <w:ind w:left="426" w:hanging="426"/>
        <w:rPr>
          <w:b/>
          <w:bCs/>
          <w:lang w:val="id-ID"/>
        </w:rPr>
      </w:pPr>
      <w:r w:rsidRPr="00956EB6">
        <w:rPr>
          <w:b/>
          <w:bCs/>
          <w:lang w:val="id-ID"/>
        </w:rPr>
        <w:t>INTRODUCTION</w:t>
      </w:r>
    </w:p>
    <w:p w:rsidR="00F606F8" w:rsidRDefault="00F606F8" w:rsidP="00F606F8">
      <w:pPr>
        <w:tabs>
          <w:tab w:val="left" w:pos="0"/>
        </w:tabs>
        <w:ind w:firstLine="709"/>
        <w:jc w:val="both"/>
      </w:pPr>
      <w:r w:rsidRPr="00F606F8">
        <w:t>Indonesia's 2012 Demographic Health Survey, 1.6% of women and 21% of men between the ages of 15 and 19 are estimated to have sexual relations before the age of 15 years. Adolescents have inadequate access to appropriate sexual and reproductive health in</w:t>
      </w:r>
      <w:r w:rsidR="008014E9">
        <w:t>formation</w:t>
      </w:r>
      <w:r w:rsidR="008014E9">
        <w:fldChar w:fldCharType="begin" w:fldLock="1"/>
      </w:r>
      <w:r w:rsidR="008014E9">
        <w:instrText>ADDIN CSL_CITATION {"citationItems":[{"id":"ITEM-1","itemData":{"author":[{"dropping-particle":"","family":"Regmi","given":"Pramod R.","non-dropping-particle":"","parse-names":false,"suffix":""},{"dropping-particle":"van","family":"Teijlingen","given":"Edwin","non-dropping-particle":"","parse-names":false,"suffix":""},{"dropping-particle":"","family":"Simkhada","given":"Padam","non-dropping-particle":"","parse-names":false,"suffix":""},{"dropping-particle":"","family":"Acharya","given":"Dev Raj","non-dropping-particle":"","parse-names":false,"suffix":""}],"container-title":"J Health Popul Nutr","id":"ITEM-1","issue":"6","issued":{"date-parts":[["2010"]]},"page":"619-627","title":"Barriers to Sexual Health Services for Young People in Nepal","type":"article-journal","volume":"28"},"uris":["http://www.mendeley.com/documents/?uuid=8643c60d-1a73-4cf5-b35c-fa6a568c954d"]}],"mendeley":{"formattedCitation":"[1]","plainTextFormattedCitation":"[1]","previouslyFormattedCitation":"[1]"},"properties":{"noteIndex":0},"schema":"https://github.com/citation-style-language/schema/raw/master/csl-citation.json"}</w:instrText>
      </w:r>
      <w:r w:rsidR="008014E9">
        <w:fldChar w:fldCharType="separate"/>
      </w:r>
      <w:r w:rsidR="008014E9" w:rsidRPr="008014E9">
        <w:rPr>
          <w:noProof/>
        </w:rPr>
        <w:t>[1]</w:t>
      </w:r>
      <w:r w:rsidR="008014E9">
        <w:fldChar w:fldCharType="end"/>
      </w:r>
      <w:r w:rsidRPr="00F606F8">
        <w:t>. Adolescent girls and boys in Indonesia who know about fertility only reach 29.0% and 32.3%. Male and female adolescent who know the risk of pregnancy if they have sexual intercourse once, only reach 49.5% and 45.5%, respectively. Male and female adolescent aged 14-19 years who claimed to have friends who had had premarital sexual relations reached 48.6% and 46.5%,</w:t>
      </w:r>
      <w:r w:rsidR="008014E9">
        <w:t xml:space="preserve"> respectively </w:t>
      </w:r>
      <w:r w:rsidR="008014E9">
        <w:fldChar w:fldCharType="begin" w:fldLock="1"/>
      </w:r>
      <w:r w:rsidR="008014E9">
        <w:instrText>ADDIN CSL_CITATION {"citationItems":[{"id":"ITEM-1","itemData":{"author":[{"dropping-particle":"","family":"DN","given":"Pramudyanti","non-dropping-particle":"","parse-names":false,"suffix":""}],"container-title":"JKep","id":"ITEM-1","issue":"3","issued":{"date-parts":[["2014"]]},"title":"Pengaruh Pendidikan Kesehatan Metode Peer Group Terhadap Pengetahuan dan Sikap Remaja Putri Tentang Kesehatan Reproduksi","type":"article-journal","volume":"2"},"uris":["http://www.mendeley.com/documents/?uuid=ddbf8016-e657-4542-bc35-0bcec6346bac"]}],"mendeley":{"formattedCitation":"[2]","plainTextFormattedCitation":"[2]","previouslyFormattedCitation":"[2]"},"properties":{"noteIndex":0},"schema":"https://github.com/citation-style-language/schema/raw/master/csl-citation.json"}</w:instrText>
      </w:r>
      <w:r w:rsidR="008014E9">
        <w:fldChar w:fldCharType="separate"/>
      </w:r>
      <w:r w:rsidR="008014E9" w:rsidRPr="008014E9">
        <w:rPr>
          <w:noProof/>
        </w:rPr>
        <w:t>[2]</w:t>
      </w:r>
      <w:r w:rsidR="008014E9">
        <w:fldChar w:fldCharType="end"/>
      </w:r>
      <w:r w:rsidRPr="00F606F8">
        <w:t>.</w:t>
      </w:r>
    </w:p>
    <w:p w:rsidR="0078585E" w:rsidRPr="00237E78" w:rsidRDefault="00F606F8" w:rsidP="00F606F8">
      <w:pPr>
        <w:tabs>
          <w:tab w:val="left" w:pos="0"/>
        </w:tabs>
        <w:ind w:firstLine="709"/>
        <w:jc w:val="both"/>
        <w:rPr>
          <w:lang w:val="id-ID"/>
        </w:rPr>
      </w:pPr>
      <w:r w:rsidRPr="00F606F8">
        <w:t>Knowledge is one of the predisposing factors for a risky pregnancy. Lack of knowledge or limited knowledge about high-risk pregnancies and the dangers that will be experienced, will also increase the incidence of high-risk pregnancy, behavioral and socioeconomic also affect the ri</w:t>
      </w:r>
      <w:r w:rsidR="00342277">
        <w:t>sks in pregnan</w:t>
      </w:r>
      <w:r w:rsidR="008014E9">
        <w:t xml:space="preserve">cy </w:t>
      </w:r>
      <w:r w:rsidR="008014E9">
        <w:fldChar w:fldCharType="begin" w:fldLock="1"/>
      </w:r>
      <w:r w:rsidR="004956F9">
        <w:instrText>ADDIN CSL_CITATION {"citationItems":[{"id":"ITEM-1","itemData":{"author":[{"dropping-particle":"","family":"Febyanti","given":"Niken Kurnia","non-dropping-particle":"","parse-names":false,"suffix":""},{"dropping-particle":"","family":"Susilawati","given":"Dwi","non-dropping-particle":"","parse-names":false,"suffix":""}],"container-title":"Jurnal Keperawatan Soedirman (The Soedirman Journal of Nursing)","id":"ITEM-1","issue":"3","issued":{"date-parts":[["2012"]]},"page":"148-157","title":"Hubungan Pengetahuan Ibu Hamil Tentang Antenatal Care Terhadap Perilaku Kunjungan Kehamilan","type":"article-journal","volume":"7"},"uris":["http://www.mendeley.com/documents/?uuid=146f368b-484c-429f-8099-0e434d9d0b32"]}],"mendeley":{"formattedCitation":"[3]","plainTextFormattedCitation":"[3]","previouslyFormattedCitation":"[3]"},"properties":{"noteIndex":0},"schema":"https://github.com/citation-style-language/schema/raw/master/csl-citation.json"}</w:instrText>
      </w:r>
      <w:r w:rsidR="008014E9">
        <w:fldChar w:fldCharType="separate"/>
      </w:r>
      <w:r w:rsidR="008014E9" w:rsidRPr="008014E9">
        <w:rPr>
          <w:noProof/>
        </w:rPr>
        <w:t>[3]</w:t>
      </w:r>
      <w:r w:rsidR="008014E9">
        <w:fldChar w:fldCharType="end"/>
      </w:r>
      <w:r w:rsidR="004956F9">
        <w:rPr>
          <w:lang w:val="id-ID"/>
        </w:rPr>
        <w:fldChar w:fldCharType="begin" w:fldLock="1"/>
      </w:r>
      <w:r w:rsidR="004956F9">
        <w:rPr>
          <w:lang w:val="id-ID"/>
        </w:rPr>
        <w:instrText>ADDIN CSL_CITATION {"citationItems":[{"id":"ITEM-1","itemData":{"author":[{"dropping-particle":"","family":"Lumempouw","given":"Vinny J.R","non-dropping-particle":"","parse-names":false,"suffix":""},{"dropping-particle":"","family":"Kundre","given":"Rina M.","non-dropping-particle":"","parse-names":false,"suffix":""},{"dropping-particle":"","family":"Bataha","given":"Yolanda","non-dropping-particle":"","parse-names":false,"suffix":""}],"container-title":"e-Journal Keperawatan (e-Kp)","id":"ITEM-1","issue":"2","issued":{"date-parts":[["2016"]]},"page":"1-7","title":"Hubungan Faktor Sosial Ekonomi Ibu Hamil Dengan Keteraturan Pemeriksaan Antenatal Care (ANC) Di Puskesmas Ranotana Weru Kecamatan Wanea Kota Manado","type":"article-journal","volume":"4"},"uris":["http://www.mendeley.com/documents/?uuid=4e344d93-f610-48b7-a6b0-aa7fc632ba0a"]}],"mendeley":{"formattedCitation":"[4]","plainTextFormattedCitation":"[4]","previouslyFormattedCitation":"[4]"},"properties":{"noteIndex":0},"schema":"https://github.com/citation-style-language/schema/raw/master/csl-citation.json"}</w:instrText>
      </w:r>
      <w:r w:rsidR="004956F9">
        <w:rPr>
          <w:lang w:val="id-ID"/>
        </w:rPr>
        <w:fldChar w:fldCharType="separate"/>
      </w:r>
      <w:r w:rsidR="004956F9" w:rsidRPr="004956F9">
        <w:rPr>
          <w:noProof/>
          <w:lang w:val="id-ID"/>
        </w:rPr>
        <w:t>[4]</w:t>
      </w:r>
      <w:r w:rsidR="004956F9">
        <w:rPr>
          <w:lang w:val="id-ID"/>
        </w:rPr>
        <w:fldChar w:fldCharType="end"/>
      </w:r>
      <w:r w:rsidRPr="00F606F8">
        <w:t xml:space="preserve">. Knowledge and practice at the adolescent stage will be the basis of healthy behavior at a later stage in life. Thus, investing in adolescent reproductive health programs </w:t>
      </w:r>
      <w:r w:rsidR="00237E78">
        <w:t>during life will</w:t>
      </w:r>
      <w:r w:rsidR="004956F9">
        <w:t xml:space="preserve"> be beneficial</w:t>
      </w:r>
      <w:r w:rsidR="004956F9">
        <w:fldChar w:fldCharType="begin" w:fldLock="1"/>
      </w:r>
      <w:r w:rsidR="004956F9">
        <w:instrText>ADDIN CSL_CITATION {"citationItems":[{"id":"ITEM-1","itemData":{"author":[{"dropping-particle":"","family":"Teguh","given":"Ahmad","non-dropping-particle":"","parse-names":false,"suffix":""},{"dropping-particle":"","family":"Istiarti","given":"Tinuk","non-dropping-particle":"","parse-names":false,"suffix":""}],"container-title":"Jurnal Kesehatan Masyarakat","id":"ITEM-1","issue":"2","issued":{"date-parts":[["2013"]]},"page":"1-10","title":"Hubungan Pengetahuan, Sikap Terhadap Kesehatan Reproduksi Dengan Praktik Seksual Pranikah Pada Mahasiswa Kebidanan Di Politeknik Kesehatan Depkes Semarang","type":"article-journal","volume":"2"},"uris":["http://www.mendeley.com/documents/?uuid=964c0943-d997-4855-bbec-3ce7567cc748"]}],"mendeley":{"formattedCitation":"[5]","plainTextFormattedCitation":"[5]","previouslyFormattedCitation":"[5]"},"properties":{"noteIndex":0},"schema":"https://github.com/citation-style-language/schema/raw/master/csl-citation.json"}</w:instrText>
      </w:r>
      <w:r w:rsidR="004956F9">
        <w:fldChar w:fldCharType="separate"/>
      </w:r>
      <w:r w:rsidR="004956F9" w:rsidRPr="004956F9">
        <w:rPr>
          <w:noProof/>
        </w:rPr>
        <w:t>[5]</w:t>
      </w:r>
      <w:r w:rsidR="004956F9">
        <w:fldChar w:fldCharType="end"/>
      </w:r>
      <w:r w:rsidR="00237E78">
        <w:rPr>
          <w:lang w:val="id-ID"/>
        </w:rPr>
        <w:t>.</w:t>
      </w:r>
    </w:p>
    <w:p w:rsidR="00F606F8" w:rsidRDefault="00F606F8" w:rsidP="00F606F8">
      <w:pPr>
        <w:tabs>
          <w:tab w:val="left" w:pos="0"/>
        </w:tabs>
        <w:ind w:firstLine="709"/>
        <w:jc w:val="both"/>
      </w:pPr>
      <w:r w:rsidRPr="00F606F8">
        <w:t xml:space="preserve">Basic knowledge that needs to be given to adolescents includes the introduction of reproductive systems, processes and functions (aspects of adolescent growth and development) and also why adolescents need to mature their marriage age and how to plan a pregnancy to suit their desires and partners to avoid risky pregnancies. The process of reproduction is the process of continuing offspring which is the joint </w:t>
      </w:r>
      <w:r w:rsidRPr="00F606F8">
        <w:lastRenderedPageBreak/>
        <w:t xml:space="preserve">responsibility of both men and women. Therefore both young men and women must know and understand about various aspects of reproductive health including avoiding risky </w:t>
      </w:r>
      <w:r w:rsidR="004956F9">
        <w:t>pregnancies</w:t>
      </w:r>
      <w:r w:rsidR="004956F9">
        <w:fldChar w:fldCharType="begin" w:fldLock="1"/>
      </w:r>
      <w:r w:rsidR="00120769">
        <w:instrText>ADDIN CSL_CITATION {"citationItems":[{"id":"ITEM-1","itemData":{"URL":"http://www.idai.or.id/artikel/seputar-kesehatan-anak/kesehatan-reproduksi-remaja-dalam-aspek-sosial","author":[{"dropping-particle":"","family":"IDAI","given":"","non-dropping-particle":"","parse-names":false,"suffix":""}],"id":"ITEM-1","issued":{"date-parts":[["2017"]]},"title":"Kesehatan Reproduksi Remaja Dalam Aspek Sosial","type":"webpage"},"uris":["http://www.mendeley.com/documents/?uuid=d3769995-a0d6-487f-8a1f-8597c3f2495b"]}],"mendeley":{"formattedCitation":"[6]","plainTextFormattedCitation":"[6]","previouslyFormattedCitation":"[6]"},"properties":{"noteIndex":0},"schema":"https://github.com/citation-style-language/schema/raw/master/csl-citation.json"}</w:instrText>
      </w:r>
      <w:r w:rsidR="004956F9">
        <w:fldChar w:fldCharType="separate"/>
      </w:r>
      <w:r w:rsidR="004956F9" w:rsidRPr="004956F9">
        <w:rPr>
          <w:noProof/>
        </w:rPr>
        <w:t>[6]</w:t>
      </w:r>
      <w:r w:rsidR="004956F9">
        <w:fldChar w:fldCharType="end"/>
      </w:r>
      <w:r w:rsidRPr="00F606F8">
        <w:t>.</w:t>
      </w:r>
    </w:p>
    <w:p w:rsidR="00F606F8" w:rsidRDefault="00F606F8" w:rsidP="00F606F8">
      <w:pPr>
        <w:tabs>
          <w:tab w:val="left" w:pos="0"/>
        </w:tabs>
        <w:ind w:firstLine="709"/>
        <w:jc w:val="both"/>
      </w:pPr>
      <w:r w:rsidRPr="00F606F8">
        <w:t>The current era of communication and information globalization, adolescents can easily access information from various parts of the world with diverse cultural patterns, so that opportunities for adolescents to be contaminated with information are often even contradictory or even contrary to the culture of their own communities. In this condition, without adequate guidance and assistance, adolescents will be easily affected by misleading information and carried by unhealthy social interactions, given that adolescents do not yet have a filter strong enough to filter the various information they receive, nor do they have the deterrent power to ward off the dominance of the social environment, due to adolescent personality is still unstable and the level of knowledge</w:t>
      </w:r>
      <w:r w:rsidR="004956F9">
        <w:t xml:space="preserve"> is still minimal</w:t>
      </w:r>
      <w:r w:rsidR="004956F9">
        <w:fldChar w:fldCharType="begin" w:fldLock="1"/>
      </w:r>
      <w:r w:rsidR="00120769">
        <w:instrText>ADDIN CSL_CITATION {"citationItems":[{"id":"ITEM-1","itemData":{"author":[{"dropping-particle":"","family":"Husodo","given":"Besar Tirto","non-dropping-particle":"","parse-names":false,"suffix":""},{"dropping-particle":"","family":"Widagdo","given":"Laksmono","non-dropping-particle":"","parse-names":false,"suffix":""}],"container-title":"MAKARA, KESEHATAN","id":"ITEM-1","issue":"2","issued":{"date-parts":[["2008"]]},"page":"59-62","title":"PENYULUHAN KESEHATAN REPRODUKSI DI KOTA SEMARANG","type":"article-journal","volume":"12"},"uris":["http://www.mendeley.com/documents/?uuid=3685a02a-0404-4de0-8640-02a3bb0aea39"]}],"mendeley":{"formattedCitation":"[7]","plainTextFormattedCitation":"[7]","previouslyFormattedCitation":"[7]"},"properties":{"noteIndex":0},"schema":"https://github.com/citation-style-language/schema/raw/master/csl-citation.json"}</w:instrText>
      </w:r>
      <w:r w:rsidR="004956F9">
        <w:fldChar w:fldCharType="separate"/>
      </w:r>
      <w:r w:rsidR="004956F9" w:rsidRPr="004956F9">
        <w:rPr>
          <w:noProof/>
        </w:rPr>
        <w:t>[7]</w:t>
      </w:r>
      <w:r w:rsidR="004956F9">
        <w:fldChar w:fldCharType="end"/>
      </w:r>
      <w:r w:rsidRPr="00F606F8">
        <w:rPr>
          <w:lang w:val="id-ID"/>
        </w:rPr>
        <w:t>.</w:t>
      </w:r>
    </w:p>
    <w:p w:rsidR="00F606F8" w:rsidRDefault="00F606F8" w:rsidP="00F606F8">
      <w:pPr>
        <w:tabs>
          <w:tab w:val="left" w:pos="0"/>
        </w:tabs>
        <w:ind w:firstLine="709"/>
        <w:jc w:val="both"/>
      </w:pPr>
      <w:r w:rsidRPr="00F606F8">
        <w:t xml:space="preserve">In addition to knowledge, adolescent attitudes towards pregnancy at an early age are an important part of being able to understand the phenomenon of an increasing number of cases of early </w:t>
      </w:r>
      <w:r w:rsidR="00F27190">
        <w:t xml:space="preserve">pregnancy which are very </w:t>
      </w:r>
      <w:proofErr w:type="gramStart"/>
      <w:r w:rsidR="00F27190">
        <w:t>risky</w:t>
      </w:r>
      <w:r w:rsidR="00E34D52">
        <w:rPr>
          <w:lang w:val="id-ID"/>
        </w:rPr>
        <w:t xml:space="preserve"> </w:t>
      </w:r>
      <w:r w:rsidRPr="00F606F8">
        <w:t>.</w:t>
      </w:r>
      <w:proofErr w:type="gramEnd"/>
      <w:r w:rsidRPr="00F606F8">
        <w:t xml:space="preserve"> Social attitudes and norms are an important part of adolescent life in making decisions to behave risky. Research conducted by </w:t>
      </w:r>
      <w:proofErr w:type="spellStart"/>
      <w:r w:rsidRPr="00F606F8">
        <w:t>Dewi</w:t>
      </w:r>
      <w:proofErr w:type="spellEnd"/>
      <w:r w:rsidRPr="00F606F8">
        <w:t xml:space="preserve"> shows that adolescents have good knowledge but do not consistently show good attitudes towards pregnancy in their teens. Teenagers have negative attitudes that lead to high risks such as hugging during courtship and kiss</w:t>
      </w:r>
      <w:r w:rsidR="004956F9">
        <w:t>ing forehead</w:t>
      </w:r>
      <w:r w:rsidR="004956F9">
        <w:rPr>
          <w:lang w:val="id-ID"/>
        </w:rPr>
        <w:t xml:space="preserve"> </w:t>
      </w:r>
      <w:r w:rsidR="004956F9">
        <w:rPr>
          <w:lang w:val="id-ID"/>
        </w:rPr>
        <w:fldChar w:fldCharType="begin" w:fldLock="1"/>
      </w:r>
      <w:r w:rsidR="00120769">
        <w:rPr>
          <w:lang w:val="id-ID"/>
        </w:rPr>
        <w:instrText>ADDIN CSL_CITATION {"citationItems":[{"id":"ITEM-1","itemData":{"ISBN":"9772302139009","author":[{"dropping-particle":"","family":"Dewi","given":"Dewa Ayu Krisna","non-dropping-particle":"","parse-names":false,"suffix":""},{"dropping-particle":"","family":"Lubis","given":"Dinar SM","non-dropping-particle":"","parse-names":false,"suffix":""}],"container-title":"Indonesian Journal of Public Halth","id":"ITEM-1","issue":"1","issued":{"date-parts":[["2012"]]},"page":"63-68","title":"Tingkat pengetahuan dan sikap remaja putri tentang kehamilan usia dini di kota denpasar","type":"article-journal","volume":"1"},"uris":["http://www.mendeley.com/documents/?uuid=f829b8c0-dc1f-4316-acd5-a450093fc1fa"]}],"mendeley":{"formattedCitation":"[8]","plainTextFormattedCitation":"[8]","previouslyFormattedCitation":"[8]"},"properties":{"noteIndex":0},"schema":"https://github.com/citation-style-language/schema/raw/master/csl-citation.json"}</w:instrText>
      </w:r>
      <w:r w:rsidR="004956F9">
        <w:rPr>
          <w:lang w:val="id-ID"/>
        </w:rPr>
        <w:fldChar w:fldCharType="separate"/>
      </w:r>
      <w:r w:rsidR="004956F9" w:rsidRPr="004956F9">
        <w:rPr>
          <w:noProof/>
          <w:lang w:val="id-ID"/>
        </w:rPr>
        <w:t>[8]</w:t>
      </w:r>
      <w:r w:rsidR="004956F9">
        <w:rPr>
          <w:lang w:val="id-ID"/>
        </w:rPr>
        <w:fldChar w:fldCharType="end"/>
      </w:r>
      <w:r w:rsidRPr="00F606F8">
        <w:t>.</w:t>
      </w:r>
    </w:p>
    <w:p w:rsidR="00F606F8" w:rsidRDefault="00F606F8" w:rsidP="00F606F8">
      <w:pPr>
        <w:tabs>
          <w:tab w:val="left" w:pos="0"/>
        </w:tabs>
        <w:ind w:firstLine="709"/>
        <w:jc w:val="both"/>
      </w:pPr>
      <w:r w:rsidRPr="00F606F8">
        <w:t xml:space="preserve">The case of sexual behavior in adolescents is increasingly worrisome because teenage sexual behavior is now exceeding the limits and </w:t>
      </w:r>
      <w:r w:rsidR="004956F9">
        <w:t xml:space="preserve">quite alarming </w:t>
      </w:r>
      <w:r w:rsidR="004956F9">
        <w:fldChar w:fldCharType="begin" w:fldLock="1"/>
      </w:r>
      <w:r w:rsidR="00120769">
        <w:instrText>ADDIN CSL_CITATION {"citationItems":[{"id":"ITEM-1","itemData":{"author":[{"dropping-particle":"","family":"Wulandari","given":"Sri","non-dropping-particle":"","parse-names":false,"suffix":""}],"container-title":"Jurnal Maternity and Neonatal","id":"ITEM-1","issue":"2","issued":{"date-parts":[["2016"]]},"page":"74-84","title":"Perilaku Seksual Pranikah Berisiko Terhadap Kehamilan Tidak Diinginkan Pada Remaja SMKN Tandun Kabupaten Rokan Hulu","type":"article-journal","volume":"2"},"uris":["http://www.mendeley.com/documents/?uuid=e7c66b3c-d3e0-44a0-82ee-9e8bc7df77d1"]}],"mendeley":{"formattedCitation":"[9]","plainTextFormattedCitation":"[9]","previouslyFormattedCitation":"[9]"},"properties":{"noteIndex":0},"schema":"https://github.com/citation-style-language/schema/raw/master/csl-citation.json"}</w:instrText>
      </w:r>
      <w:r w:rsidR="004956F9">
        <w:fldChar w:fldCharType="separate"/>
      </w:r>
      <w:r w:rsidR="004956F9" w:rsidRPr="004956F9">
        <w:rPr>
          <w:noProof/>
        </w:rPr>
        <w:t>[9]</w:t>
      </w:r>
      <w:r w:rsidR="004956F9">
        <w:fldChar w:fldCharType="end"/>
      </w:r>
      <w:r w:rsidRPr="00F606F8">
        <w:t>. This is supported by research showing 12.1% of adolescents have sexual behavior at risk of unwanted pregnancy. An unwanted pregnancy in adolescence is caused by several factors, one of which is the educational prospect, some of which do not know how t</w:t>
      </w:r>
      <w:r w:rsidR="004956F9">
        <w:t>o avoid pregnancy</w:t>
      </w:r>
      <w:r w:rsidR="004956F9">
        <w:fldChar w:fldCharType="begin" w:fldLock="1"/>
      </w:r>
      <w:r w:rsidR="00120769">
        <w:instrText>ADDIN CSL_CITATION {"citationItems":[{"id":"ITEM-1","itemData":{"author":[{"dropping-particle":"","family":"Azinar","given":"Muhammad","non-dropping-particle":"","parse-names":false,"suffix":""}],"container-title":"Jurnal Kesehatan Masyarakat","id":"ITEM-1","issue":"2","issued":{"date-parts":[["2013"]]},"page":"153-160","title":"Perilaku Seksual Pranikah Berisiko Terhadap Kehamilan Tidak Diinginkan","type":"article-journal","volume":"8"},"uris":["http://www.mendeley.com/documents/?uuid=45ecb2e3-42e9-47be-a372-f4aca47207ec"]}],"mendeley":{"formattedCitation":"[10]","plainTextFormattedCitation":"[10]","previouslyFormattedCitation":"[10]"},"properties":{"noteIndex":0},"schema":"https://github.com/citation-style-language/schema/raw/master/csl-citation.json"}</w:instrText>
      </w:r>
      <w:r w:rsidR="004956F9">
        <w:fldChar w:fldCharType="separate"/>
      </w:r>
      <w:r w:rsidR="004956F9" w:rsidRPr="004956F9">
        <w:rPr>
          <w:noProof/>
        </w:rPr>
        <w:t>[10]</w:t>
      </w:r>
      <w:r w:rsidR="004956F9">
        <w:fldChar w:fldCharType="end"/>
      </w:r>
      <w:r w:rsidRPr="00F606F8">
        <w:t>. Early childbirth is a major health risk for mothers, in low and middle income countries, complications of pregnancy and childbirth are the main causes of death in young wo</w:t>
      </w:r>
      <w:r w:rsidR="004956F9">
        <w:t xml:space="preserve">men aged 15-19 years </w:t>
      </w:r>
      <w:r w:rsidR="00120769">
        <w:fldChar w:fldCharType="begin" w:fldLock="1"/>
      </w:r>
      <w:r w:rsidR="009E04BE">
        <w:instrText>ADDIN CSL_CITATION {"citationItems":[{"id":"ITEM-1","itemData":{"URL":"https://www.who.int/gho/maternal health/en/index.html","author":[{"dropping-particle":"","family":"WHO","given":"","non-dropping-particle":"","parse-names":false,"suffix":""}],"id":"ITEM-1","issued":{"date-parts":[["2017"]]},"title":"Preventing Early Pregnancy and Poor Reproductive Outcomes","type":"webpage"},"uris":["http://www.mendeley.com/documents/?uuid=7062c947-bc83-4105-9fbb-475e5cf4d95f"]}],"mendeley":{"formattedCitation":"[11]","plainTextFormattedCitation":"[11]","previouslyFormattedCitation":"[11]"},"properties":{"noteIndex":0},"schema":"https://github.com/citation-style-language/schema/raw/master/csl-citation.json"}</w:instrText>
      </w:r>
      <w:r w:rsidR="00120769">
        <w:fldChar w:fldCharType="separate"/>
      </w:r>
      <w:r w:rsidR="00120769" w:rsidRPr="00120769">
        <w:rPr>
          <w:noProof/>
        </w:rPr>
        <w:t>[11]</w:t>
      </w:r>
      <w:r w:rsidR="00120769">
        <w:fldChar w:fldCharType="end"/>
      </w:r>
      <w:r w:rsidRPr="00F606F8">
        <w:t>.</w:t>
      </w:r>
    </w:p>
    <w:p w:rsidR="00F606F8" w:rsidRDefault="00F606F8" w:rsidP="00F606F8">
      <w:pPr>
        <w:tabs>
          <w:tab w:val="left" w:pos="0"/>
        </w:tabs>
        <w:ind w:firstLine="709"/>
        <w:jc w:val="both"/>
      </w:pPr>
      <w:proofErr w:type="spellStart"/>
      <w:r w:rsidRPr="00F606F8">
        <w:t>Puskesmas</w:t>
      </w:r>
      <w:proofErr w:type="spellEnd"/>
      <w:r w:rsidRPr="00F606F8">
        <w:t xml:space="preserve"> with the Adolescent Health Care Services (PKPR) provide health services for school-based and community-based youth. PKPR in </w:t>
      </w:r>
      <w:proofErr w:type="spellStart"/>
      <w:r w:rsidRPr="00F606F8">
        <w:t>puskesmas</w:t>
      </w:r>
      <w:proofErr w:type="spellEnd"/>
      <w:r w:rsidRPr="00F606F8">
        <w:t xml:space="preserve"> is adjusted to the needs of adolescents by increasing the quality of counseling of health </w:t>
      </w:r>
      <w:proofErr w:type="spellStart"/>
      <w:r w:rsidRPr="00F606F8">
        <w:t>personel</w:t>
      </w:r>
      <w:proofErr w:type="spellEnd"/>
      <w:r w:rsidRPr="00F606F8">
        <w:t xml:space="preserve"> and empowering adolescents as peer counselors. Peer counselors are an event to complain to each other, pour out their hearts, strengthen each other and motivate each other am</w:t>
      </w:r>
      <w:r w:rsidR="004956F9">
        <w:t xml:space="preserve">ong fellow students </w:t>
      </w:r>
      <w:r w:rsidR="004956F9">
        <w:fldChar w:fldCharType="begin" w:fldLock="1"/>
      </w:r>
      <w:r w:rsidR="009E04BE">
        <w:instrText>ADDIN CSL_CITATION {"citationItems":[{"id":"ITEM-1","itemData":{"author":[{"dropping-particle":"","family":"Sari","given":"Danita","non-dropping-particle":"","parse-names":false,"suffix":""}],"container-title":"ARKESMAS","id":"ITEM-1","issue":"1","issued":{"date-parts":[["2016"]]},"page":"4-17","title":"DI PUSKESMAS CIPUTAT KOTA TANGERANG SELATAN TAHUN 2014","type":"article-journal","volume":"1"},"uris":["http://www.mendeley.com/documents/?uuid=d3807dc7-15ad-45eb-8df0-cdd7ae13d9dc"]}],"mendeley":{"formattedCitation":"[12]","plainTextFormattedCitation":"[12]","previouslyFormattedCitation":"[12]"},"properties":{"noteIndex":0},"schema":"https://github.com/citation-style-language/schema/raw/master/csl-citation.json"}</w:instrText>
      </w:r>
      <w:r w:rsidR="004956F9">
        <w:fldChar w:fldCharType="separate"/>
      </w:r>
      <w:r w:rsidR="00120769" w:rsidRPr="00120769">
        <w:rPr>
          <w:noProof/>
        </w:rPr>
        <w:t>[12]</w:t>
      </w:r>
      <w:r w:rsidR="004956F9">
        <w:fldChar w:fldCharType="end"/>
      </w:r>
      <w:r w:rsidRPr="00F606F8">
        <w:t xml:space="preserve">. Basic counseling skills training must be carried out for PIK-KRR administrators at SMK </w:t>
      </w:r>
      <w:proofErr w:type="spellStart"/>
      <w:r w:rsidRPr="00F606F8">
        <w:t>Muhammadiyah</w:t>
      </w:r>
      <w:proofErr w:type="spellEnd"/>
      <w:r w:rsidRPr="00F606F8">
        <w:t xml:space="preserve"> 1 </w:t>
      </w:r>
      <w:proofErr w:type="spellStart"/>
      <w:r w:rsidRPr="00F606F8">
        <w:t>Wonosobo</w:t>
      </w:r>
      <w:proofErr w:type="spellEnd"/>
      <w:r w:rsidRPr="00F606F8">
        <w:t xml:space="preserve"> on a module-based basis through reading activities, discussion activities, and practicing activities so that PIK R administrators can have knowledge and insight about the implementation of counseling as an effort to solve problems and can help the implementation of the duties of BK teachers in peer service relations. However, in SMK </w:t>
      </w:r>
      <w:proofErr w:type="spellStart"/>
      <w:r w:rsidRPr="00F606F8">
        <w:t>Muhammadiyah</w:t>
      </w:r>
      <w:proofErr w:type="spellEnd"/>
      <w:r w:rsidRPr="00F606F8">
        <w:t xml:space="preserve"> 1 </w:t>
      </w:r>
      <w:proofErr w:type="spellStart"/>
      <w:r w:rsidRPr="00F606F8">
        <w:t>Wonosobo</w:t>
      </w:r>
      <w:proofErr w:type="spellEnd"/>
      <w:r w:rsidRPr="00F606F8">
        <w:t xml:space="preserve"> there has not been a training in counseling skills for students even though in SMK </w:t>
      </w:r>
      <w:proofErr w:type="spellStart"/>
      <w:r w:rsidRPr="00F606F8">
        <w:t>Muhammadiyah</w:t>
      </w:r>
      <w:proofErr w:type="spellEnd"/>
      <w:r w:rsidRPr="00F606F8">
        <w:t xml:space="preserve"> 1 </w:t>
      </w:r>
      <w:proofErr w:type="spellStart"/>
      <w:r w:rsidRPr="00F606F8">
        <w:t>Wonosobo</w:t>
      </w:r>
      <w:proofErr w:type="spellEnd"/>
      <w:r w:rsidRPr="00F606F8">
        <w:t xml:space="preserve"> already has a PIK-KRR program. Therefore the PIK-KRR program at SMK 1 </w:t>
      </w:r>
      <w:proofErr w:type="spellStart"/>
      <w:r w:rsidRPr="00F606F8">
        <w:t>Muhammadiyah</w:t>
      </w:r>
      <w:proofErr w:type="spellEnd"/>
      <w:r w:rsidRPr="00F606F8">
        <w:t xml:space="preserve"> </w:t>
      </w:r>
      <w:proofErr w:type="spellStart"/>
      <w:r w:rsidRPr="00F606F8">
        <w:t>Wonosobo</w:t>
      </w:r>
      <w:proofErr w:type="spellEnd"/>
      <w:r w:rsidRPr="00F606F8">
        <w:t xml:space="preserve"> did not run well.</w:t>
      </w:r>
    </w:p>
    <w:p w:rsidR="00F606F8" w:rsidRPr="00F606F8" w:rsidRDefault="00F606F8" w:rsidP="00F606F8">
      <w:pPr>
        <w:tabs>
          <w:tab w:val="left" w:pos="0"/>
        </w:tabs>
        <w:ind w:firstLine="709"/>
        <w:jc w:val="both"/>
      </w:pPr>
      <w:r w:rsidRPr="00F606F8">
        <w:t xml:space="preserve">Male and female adolescent aged 15-19 years are vulnerable to reproductive problems, one of which is the occurrence of risky pregnancies due to reproductive organs that are not yet mature enough. Therefore, both young men and women must know and understand about various aspects of reproductive health, including avoiding risky pregnancies. Adolescents who have participated in reproductive health counseling can be used as peer </w:t>
      </w:r>
      <w:proofErr w:type="gramStart"/>
      <w:r w:rsidRPr="00F606F8">
        <w:t>counselors</w:t>
      </w:r>
      <w:proofErr w:type="gramEnd"/>
      <w:r w:rsidRPr="00F606F8">
        <w:t xml:space="preserve"> cadres in SMK </w:t>
      </w:r>
      <w:proofErr w:type="spellStart"/>
      <w:r w:rsidRPr="00F606F8">
        <w:t>Muhammadiyah</w:t>
      </w:r>
      <w:proofErr w:type="spellEnd"/>
      <w:r w:rsidRPr="00F606F8">
        <w:t xml:space="preserve"> 1 </w:t>
      </w:r>
      <w:proofErr w:type="spellStart"/>
      <w:r w:rsidRPr="00F606F8">
        <w:t>Wonosobo</w:t>
      </w:r>
      <w:proofErr w:type="spellEnd"/>
      <w:r w:rsidRPr="00F606F8">
        <w:t>.</w:t>
      </w:r>
    </w:p>
    <w:p w:rsidR="007B2F22" w:rsidRPr="007B2F22" w:rsidRDefault="00F33C08" w:rsidP="006C6261">
      <w:pPr>
        <w:numPr>
          <w:ilvl w:val="0"/>
          <w:numId w:val="4"/>
        </w:numPr>
        <w:tabs>
          <w:tab w:val="left" w:pos="426"/>
        </w:tabs>
        <w:ind w:left="426" w:hanging="426"/>
        <w:rPr>
          <w:b/>
          <w:bCs/>
          <w:lang w:val="id-ID"/>
        </w:rPr>
      </w:pPr>
      <w:r w:rsidRPr="003D5B84">
        <w:rPr>
          <w:b/>
          <w:bCs/>
          <w:lang w:val="id-ID"/>
        </w:rPr>
        <w:t>RESEARCH METHOD</w:t>
      </w:r>
    </w:p>
    <w:p w:rsidR="007B2F22" w:rsidRPr="009A1E3A" w:rsidRDefault="00F606F8" w:rsidP="009A1E3A">
      <w:pPr>
        <w:tabs>
          <w:tab w:val="left" w:pos="284"/>
        </w:tabs>
        <w:ind w:firstLine="709"/>
        <w:jc w:val="both"/>
        <w:rPr>
          <w:b/>
          <w:bCs/>
          <w:lang w:val="id-ID"/>
        </w:rPr>
      </w:pPr>
      <w:r w:rsidRPr="0077168B">
        <w:t>This research is a quasi-experimental research or quasi experiment design with a one group pretest-posttest design approach that aims to determine the effects arising as a result of certain treatments. This study employed a design using one group from all population. Measurements were made before and after treatment, by pretest and posttest (</w:t>
      </w:r>
      <w:proofErr w:type="spellStart"/>
      <w:r w:rsidRPr="0077168B">
        <w:t>Notoatmodjo</w:t>
      </w:r>
      <w:proofErr w:type="spellEnd"/>
      <w:r w:rsidRPr="0077168B">
        <w:t xml:space="preserve">, 2007). The population or research subjects in this study were students of Grade X and XI at SMK </w:t>
      </w:r>
      <w:proofErr w:type="spellStart"/>
      <w:r w:rsidRPr="0077168B">
        <w:t>Muhammadiyah</w:t>
      </w:r>
      <w:proofErr w:type="spellEnd"/>
      <w:r w:rsidRPr="0077168B">
        <w:t xml:space="preserve"> 1 </w:t>
      </w:r>
      <w:proofErr w:type="spellStart"/>
      <w:r w:rsidRPr="0077168B">
        <w:t>Wonosobo</w:t>
      </w:r>
      <w:proofErr w:type="spellEnd"/>
      <w:r w:rsidRPr="0077168B">
        <w:t xml:space="preserve"> amounting to 900 students with a sample of 108 students.</w:t>
      </w:r>
    </w:p>
    <w:p w:rsidR="009A1E3A" w:rsidRDefault="00F33C08" w:rsidP="006C6261">
      <w:pPr>
        <w:pStyle w:val="ListParagraph"/>
        <w:numPr>
          <w:ilvl w:val="0"/>
          <w:numId w:val="5"/>
        </w:numPr>
        <w:tabs>
          <w:tab w:val="left" w:pos="426"/>
        </w:tabs>
        <w:spacing w:after="0" w:line="240" w:lineRule="auto"/>
        <w:ind w:left="426" w:hanging="426"/>
        <w:rPr>
          <w:rFonts w:ascii="Times New Roman" w:hAnsi="Times New Roman"/>
          <w:b/>
          <w:bCs/>
          <w:sz w:val="20"/>
          <w:szCs w:val="20"/>
          <w:lang w:val="id-ID"/>
        </w:rPr>
      </w:pPr>
      <w:r w:rsidRPr="009A1E3A">
        <w:rPr>
          <w:rFonts w:ascii="Times New Roman" w:hAnsi="Times New Roman"/>
          <w:b/>
          <w:bCs/>
          <w:sz w:val="20"/>
          <w:szCs w:val="20"/>
          <w:lang w:val="id-ID"/>
        </w:rPr>
        <w:t xml:space="preserve">RESULTS </w:t>
      </w:r>
      <w:r w:rsidRPr="009A1E3A">
        <w:rPr>
          <w:rFonts w:ascii="Times New Roman" w:hAnsi="Times New Roman"/>
          <w:b/>
          <w:bCs/>
          <w:sz w:val="20"/>
          <w:szCs w:val="20"/>
        </w:rPr>
        <w:t>A</w:t>
      </w:r>
      <w:r w:rsidRPr="009A1E3A">
        <w:rPr>
          <w:rFonts w:ascii="Times New Roman" w:hAnsi="Times New Roman"/>
          <w:b/>
          <w:bCs/>
          <w:sz w:val="20"/>
          <w:szCs w:val="20"/>
          <w:lang w:val="id-ID"/>
        </w:rPr>
        <w:t>ND ANALYSIS</w:t>
      </w:r>
    </w:p>
    <w:p w:rsidR="00F606F8" w:rsidRPr="00662645" w:rsidRDefault="00F606F8" w:rsidP="006C6261">
      <w:pPr>
        <w:pStyle w:val="ListParagraph"/>
        <w:numPr>
          <w:ilvl w:val="0"/>
          <w:numId w:val="7"/>
        </w:numPr>
        <w:tabs>
          <w:tab w:val="left" w:pos="426"/>
        </w:tabs>
        <w:ind w:left="426" w:hanging="426"/>
        <w:rPr>
          <w:rFonts w:ascii="Times New Roman" w:hAnsi="Times New Roman"/>
          <w:b/>
          <w:bCs/>
          <w:sz w:val="20"/>
          <w:szCs w:val="20"/>
          <w:lang w:val="id-ID"/>
        </w:rPr>
      </w:pPr>
      <w:r w:rsidRPr="00662645">
        <w:rPr>
          <w:rFonts w:ascii="Times New Roman" w:hAnsi="Times New Roman"/>
          <w:b/>
          <w:sz w:val="20"/>
          <w:szCs w:val="20"/>
        </w:rPr>
        <w:t>Univariate Analysis</w:t>
      </w:r>
    </w:p>
    <w:p w:rsidR="00F606F8" w:rsidRDefault="00F606F8" w:rsidP="006C6261">
      <w:pPr>
        <w:pStyle w:val="ListParagraph"/>
        <w:numPr>
          <w:ilvl w:val="0"/>
          <w:numId w:val="8"/>
        </w:numPr>
        <w:spacing w:line="240" w:lineRule="auto"/>
        <w:ind w:left="709" w:hanging="283"/>
        <w:jc w:val="both"/>
        <w:rPr>
          <w:rFonts w:ascii="Times New Roman" w:hAnsi="Times New Roman"/>
          <w:sz w:val="20"/>
          <w:szCs w:val="20"/>
        </w:rPr>
      </w:pPr>
      <w:r w:rsidRPr="00662645">
        <w:rPr>
          <w:rFonts w:ascii="Times New Roman" w:hAnsi="Times New Roman"/>
          <w:sz w:val="20"/>
          <w:szCs w:val="20"/>
        </w:rPr>
        <w:t>Characteristics of Subjects</w:t>
      </w:r>
    </w:p>
    <w:p w:rsidR="00F606F8" w:rsidRDefault="00F606F8" w:rsidP="00F606F8">
      <w:pPr>
        <w:pStyle w:val="ListParagraph"/>
        <w:spacing w:line="240" w:lineRule="auto"/>
        <w:ind w:left="709" w:firstLine="567"/>
        <w:jc w:val="both"/>
        <w:rPr>
          <w:rFonts w:ascii="Times New Roman" w:hAnsi="Times New Roman"/>
          <w:sz w:val="20"/>
          <w:szCs w:val="20"/>
        </w:rPr>
      </w:pPr>
      <w:r w:rsidRPr="00662645">
        <w:rPr>
          <w:rFonts w:ascii="Times New Roman" w:hAnsi="Times New Roman"/>
          <w:color w:val="000000" w:themeColor="text1"/>
          <w:sz w:val="20"/>
          <w:szCs w:val="20"/>
        </w:rPr>
        <w:t xml:space="preserve">The frequency distribution of the characteristics of respondents in this study was based on age, parental education, parental occupation, parental income and information about teenage pregnancy. This shows that the characteristics of the respondents most of the students aged 17 years were 60 people (55.6%). Regarding the education of mothers and fathers, the majority are elementary school graduates with a total of 63 people (58.3%). Regarding the occupation of mothers, the majority are housewives with a total of 55 people (50.9%). Regarding the occupation of fathers, the majority are farmers amounting to 31 people (28.7%). Regarding family income, most are more than </w:t>
      </w:r>
      <w:proofErr w:type="spellStart"/>
      <w:r w:rsidRPr="00662645">
        <w:rPr>
          <w:rFonts w:ascii="Times New Roman" w:hAnsi="Times New Roman"/>
          <w:color w:val="000000" w:themeColor="text1"/>
          <w:sz w:val="20"/>
          <w:szCs w:val="20"/>
        </w:rPr>
        <w:t>Rp</w:t>
      </w:r>
      <w:proofErr w:type="spellEnd"/>
      <w:r w:rsidRPr="00662645">
        <w:rPr>
          <w:rFonts w:ascii="Times New Roman" w:hAnsi="Times New Roman"/>
          <w:color w:val="000000" w:themeColor="text1"/>
          <w:sz w:val="20"/>
          <w:szCs w:val="20"/>
        </w:rPr>
        <w:t>. 1,709,150, - as many</w:t>
      </w:r>
      <w:r>
        <w:rPr>
          <w:color w:val="000000" w:themeColor="text1"/>
          <w:lang w:val="id-ID"/>
        </w:rPr>
        <w:t xml:space="preserve"> </w:t>
      </w:r>
      <w:r w:rsidRPr="00662645">
        <w:rPr>
          <w:rFonts w:ascii="Times New Roman" w:hAnsi="Times New Roman"/>
          <w:color w:val="000000" w:themeColor="text1"/>
          <w:sz w:val="20"/>
          <w:szCs w:val="20"/>
        </w:rPr>
        <w:t>as 65 people (60.2%). The results showed that the majority of students had received information about teenage pregnancy mainly obtained from electronic media.</w:t>
      </w:r>
    </w:p>
    <w:p w:rsidR="00F606F8" w:rsidRDefault="00F606F8" w:rsidP="00F606F8">
      <w:pPr>
        <w:pStyle w:val="ListParagraph"/>
        <w:spacing w:line="240" w:lineRule="auto"/>
        <w:ind w:left="709" w:firstLine="567"/>
        <w:jc w:val="both"/>
        <w:rPr>
          <w:rFonts w:ascii="Times New Roman" w:hAnsi="Times New Roman"/>
          <w:color w:val="000000" w:themeColor="text1"/>
          <w:sz w:val="20"/>
          <w:szCs w:val="20"/>
          <w:lang w:val="id-ID"/>
        </w:rPr>
      </w:pPr>
      <w:r w:rsidRPr="00662645">
        <w:rPr>
          <w:rFonts w:ascii="Times New Roman" w:hAnsi="Times New Roman"/>
          <w:color w:val="000000" w:themeColor="text1"/>
          <w:sz w:val="20"/>
          <w:szCs w:val="20"/>
        </w:rPr>
        <w:lastRenderedPageBreak/>
        <w:t xml:space="preserve">Based on the description above, it can be seen the frequency distribution of respondents' characteristics based on the age of the students in </w:t>
      </w:r>
      <w:proofErr w:type="gramStart"/>
      <w:r w:rsidRPr="00662645">
        <w:rPr>
          <w:rFonts w:ascii="Times New Roman" w:hAnsi="Times New Roman"/>
          <w:color w:val="000000" w:themeColor="text1"/>
          <w:sz w:val="20"/>
          <w:szCs w:val="20"/>
        </w:rPr>
        <w:t xml:space="preserve">table </w:t>
      </w:r>
      <w:r w:rsidRPr="00662645">
        <w:rPr>
          <w:rFonts w:ascii="Times New Roman" w:hAnsi="Times New Roman"/>
          <w:color w:val="000000" w:themeColor="text1"/>
          <w:sz w:val="20"/>
          <w:szCs w:val="20"/>
          <w:lang w:val="id-ID"/>
        </w:rPr>
        <w:t xml:space="preserve"> 1</w:t>
      </w:r>
      <w:proofErr w:type="gramEnd"/>
      <w:r w:rsidRPr="00662645">
        <w:rPr>
          <w:rFonts w:ascii="Times New Roman" w:hAnsi="Times New Roman"/>
          <w:color w:val="000000" w:themeColor="text1"/>
          <w:sz w:val="20"/>
          <w:szCs w:val="20"/>
          <w:lang w:val="id-ID"/>
        </w:rPr>
        <w:t>.</w:t>
      </w:r>
    </w:p>
    <w:p w:rsidR="00346A74" w:rsidRDefault="00346A74" w:rsidP="00F606F8">
      <w:pPr>
        <w:pStyle w:val="ListParagraph"/>
        <w:spacing w:line="240" w:lineRule="auto"/>
        <w:ind w:left="709" w:firstLine="567"/>
        <w:jc w:val="both"/>
        <w:rPr>
          <w:rFonts w:ascii="Times New Roman" w:hAnsi="Times New Roman"/>
          <w:sz w:val="20"/>
          <w:szCs w:val="20"/>
          <w:lang w:val="id-ID"/>
        </w:rPr>
      </w:pPr>
    </w:p>
    <w:p w:rsidR="00F606F8" w:rsidRPr="00662645" w:rsidRDefault="00F606F8" w:rsidP="00F606F8">
      <w:pPr>
        <w:pStyle w:val="ListParagraph"/>
        <w:spacing w:line="240" w:lineRule="auto"/>
        <w:ind w:left="709"/>
        <w:jc w:val="both"/>
        <w:rPr>
          <w:rFonts w:ascii="Times New Roman" w:hAnsi="Times New Roman"/>
          <w:sz w:val="20"/>
          <w:szCs w:val="20"/>
        </w:rPr>
      </w:pPr>
      <w:r w:rsidRPr="00662645">
        <w:rPr>
          <w:rFonts w:ascii="Times New Roman" w:hAnsi="Times New Roman"/>
          <w:bCs/>
          <w:color w:val="000000" w:themeColor="text1"/>
          <w:sz w:val="20"/>
          <w:szCs w:val="20"/>
          <w:lang w:val="it-IT"/>
        </w:rPr>
        <w:t>Table 1.</w:t>
      </w:r>
      <w:r w:rsidRPr="00662645">
        <w:rPr>
          <w:rFonts w:ascii="Times New Roman" w:hAnsi="Times New Roman"/>
          <w:bCs/>
          <w:color w:val="000000" w:themeColor="text1"/>
          <w:sz w:val="20"/>
          <w:szCs w:val="20"/>
        </w:rPr>
        <w:t xml:space="preserve"> </w:t>
      </w:r>
      <w:r w:rsidRPr="00662645">
        <w:rPr>
          <w:rFonts w:ascii="Times New Roman" w:hAnsi="Times New Roman"/>
          <w:color w:val="000000" w:themeColor="text1"/>
          <w:sz w:val="20"/>
          <w:szCs w:val="20"/>
        </w:rPr>
        <w:t xml:space="preserve">Frequency Distribution of Characteristics of Respondents by Age of Students in SMK </w:t>
      </w:r>
      <w:proofErr w:type="spellStart"/>
      <w:r w:rsidRPr="00662645">
        <w:rPr>
          <w:rFonts w:ascii="Times New Roman" w:hAnsi="Times New Roman"/>
          <w:color w:val="000000" w:themeColor="text1"/>
          <w:sz w:val="20"/>
          <w:szCs w:val="20"/>
        </w:rPr>
        <w:t>Muhammadiyah</w:t>
      </w:r>
      <w:proofErr w:type="spellEnd"/>
      <w:r w:rsidRPr="00662645">
        <w:rPr>
          <w:rFonts w:ascii="Times New Roman" w:hAnsi="Times New Roman"/>
          <w:color w:val="000000" w:themeColor="text1"/>
          <w:sz w:val="20"/>
          <w:szCs w:val="20"/>
        </w:rPr>
        <w:t xml:space="preserve"> 1 </w:t>
      </w:r>
      <w:proofErr w:type="spellStart"/>
      <w:r w:rsidRPr="00662645">
        <w:rPr>
          <w:rFonts w:ascii="Times New Roman" w:hAnsi="Times New Roman"/>
          <w:color w:val="000000" w:themeColor="text1"/>
          <w:sz w:val="20"/>
          <w:szCs w:val="20"/>
        </w:rPr>
        <w:t>Wonosobo</w:t>
      </w:r>
      <w:proofErr w:type="spellEnd"/>
    </w:p>
    <w:tbl>
      <w:tblPr>
        <w:tblW w:w="6947" w:type="dxa"/>
        <w:jc w:val="center"/>
        <w:tblBorders>
          <w:top w:val="single" w:sz="4" w:space="0" w:color="auto"/>
          <w:bottom w:val="single" w:sz="4" w:space="0" w:color="auto"/>
        </w:tblBorders>
        <w:tblLook w:val="04A0" w:firstRow="1" w:lastRow="0" w:firstColumn="1" w:lastColumn="0" w:noHBand="0" w:noVBand="1"/>
      </w:tblPr>
      <w:tblGrid>
        <w:gridCol w:w="3828"/>
        <w:gridCol w:w="1559"/>
        <w:gridCol w:w="1560"/>
      </w:tblGrid>
      <w:tr w:rsidR="00F606F8" w:rsidRPr="00662645" w:rsidTr="004956F9">
        <w:trPr>
          <w:tblHeader/>
          <w:jc w:val="center"/>
        </w:trPr>
        <w:tc>
          <w:tcPr>
            <w:tcW w:w="3828" w:type="dxa"/>
            <w:tcBorders>
              <w:top w:val="single" w:sz="4" w:space="0" w:color="auto"/>
              <w:bottom w:val="single" w:sz="4" w:space="0" w:color="auto"/>
            </w:tcBorders>
          </w:tcPr>
          <w:p w:rsidR="00F606F8" w:rsidRPr="00662645" w:rsidRDefault="00F606F8" w:rsidP="004956F9">
            <w:pPr>
              <w:pStyle w:val="ListParagraph"/>
              <w:spacing w:after="0" w:line="240" w:lineRule="auto"/>
              <w:ind w:left="0"/>
              <w:jc w:val="center"/>
              <w:rPr>
                <w:rFonts w:ascii="Times New Roman" w:hAnsi="Times New Roman"/>
                <w:color w:val="000000" w:themeColor="text1"/>
                <w:sz w:val="20"/>
                <w:szCs w:val="20"/>
                <w:lang w:val="id-ID"/>
              </w:rPr>
            </w:pPr>
            <w:r w:rsidRPr="00662645">
              <w:rPr>
                <w:rFonts w:ascii="Times New Roman" w:hAnsi="Times New Roman"/>
                <w:color w:val="000000" w:themeColor="text1"/>
                <w:sz w:val="20"/>
                <w:szCs w:val="20"/>
                <w:lang w:val="id-ID"/>
              </w:rPr>
              <w:t>Characteristics</w:t>
            </w:r>
          </w:p>
        </w:tc>
        <w:tc>
          <w:tcPr>
            <w:tcW w:w="1559" w:type="dxa"/>
            <w:tcBorders>
              <w:top w:val="single" w:sz="4" w:space="0" w:color="auto"/>
              <w:bottom w:val="single" w:sz="4" w:space="0" w:color="auto"/>
            </w:tcBorders>
          </w:tcPr>
          <w:p w:rsidR="00F606F8" w:rsidRPr="00662645" w:rsidRDefault="00F606F8" w:rsidP="004956F9">
            <w:pPr>
              <w:pStyle w:val="ListParagraph"/>
              <w:spacing w:after="0" w:line="240" w:lineRule="auto"/>
              <w:ind w:left="0"/>
              <w:jc w:val="center"/>
              <w:rPr>
                <w:rFonts w:ascii="Times New Roman" w:hAnsi="Times New Roman"/>
                <w:color w:val="000000" w:themeColor="text1"/>
                <w:sz w:val="20"/>
                <w:szCs w:val="20"/>
              </w:rPr>
            </w:pPr>
            <w:r w:rsidRPr="00662645">
              <w:rPr>
                <w:rFonts w:ascii="Times New Roman" w:hAnsi="Times New Roman"/>
                <w:color w:val="000000" w:themeColor="text1"/>
                <w:sz w:val="20"/>
                <w:szCs w:val="20"/>
              </w:rPr>
              <w:t>F</w:t>
            </w:r>
          </w:p>
        </w:tc>
        <w:tc>
          <w:tcPr>
            <w:tcW w:w="1560" w:type="dxa"/>
            <w:tcBorders>
              <w:top w:val="single" w:sz="4" w:space="0" w:color="auto"/>
              <w:bottom w:val="single" w:sz="4" w:space="0" w:color="auto"/>
            </w:tcBorders>
          </w:tcPr>
          <w:p w:rsidR="00F606F8" w:rsidRPr="00662645" w:rsidRDefault="00F606F8" w:rsidP="004956F9">
            <w:pPr>
              <w:pStyle w:val="ListParagraph"/>
              <w:spacing w:after="0" w:line="240" w:lineRule="auto"/>
              <w:ind w:left="0"/>
              <w:jc w:val="center"/>
              <w:rPr>
                <w:rFonts w:ascii="Times New Roman" w:hAnsi="Times New Roman"/>
                <w:color w:val="000000" w:themeColor="text1"/>
                <w:sz w:val="20"/>
                <w:szCs w:val="20"/>
              </w:rPr>
            </w:pPr>
            <w:r w:rsidRPr="00662645">
              <w:rPr>
                <w:rFonts w:ascii="Times New Roman" w:hAnsi="Times New Roman"/>
                <w:color w:val="000000" w:themeColor="text1"/>
                <w:sz w:val="20"/>
                <w:szCs w:val="20"/>
              </w:rPr>
              <w:t xml:space="preserve"> %</w:t>
            </w:r>
          </w:p>
        </w:tc>
      </w:tr>
      <w:tr w:rsidR="00F606F8" w:rsidRPr="00662645" w:rsidTr="004956F9">
        <w:trPr>
          <w:jc w:val="center"/>
        </w:trPr>
        <w:tc>
          <w:tcPr>
            <w:tcW w:w="3828" w:type="dxa"/>
            <w:tcBorders>
              <w:top w:val="single" w:sz="4" w:space="0" w:color="auto"/>
              <w:bottom w:val="nil"/>
            </w:tcBorders>
          </w:tcPr>
          <w:p w:rsidR="00F606F8" w:rsidRPr="00662645" w:rsidRDefault="00F606F8" w:rsidP="004956F9">
            <w:pPr>
              <w:pStyle w:val="ListParagraph"/>
              <w:tabs>
                <w:tab w:val="right" w:pos="2299"/>
              </w:tabs>
              <w:spacing w:after="0" w:line="240" w:lineRule="auto"/>
              <w:ind w:left="0"/>
              <w:rPr>
                <w:rFonts w:ascii="Times New Roman" w:hAnsi="Times New Roman"/>
                <w:color w:val="000000" w:themeColor="text1"/>
                <w:sz w:val="20"/>
                <w:szCs w:val="20"/>
                <w:lang w:val="id-ID"/>
              </w:rPr>
            </w:pPr>
            <w:r w:rsidRPr="00662645">
              <w:rPr>
                <w:rFonts w:ascii="Times New Roman" w:hAnsi="Times New Roman"/>
                <w:color w:val="000000" w:themeColor="text1"/>
                <w:sz w:val="20"/>
                <w:szCs w:val="20"/>
                <w:lang w:val="id-ID"/>
              </w:rPr>
              <w:t>Age</w:t>
            </w:r>
          </w:p>
        </w:tc>
        <w:tc>
          <w:tcPr>
            <w:tcW w:w="1559" w:type="dxa"/>
            <w:tcBorders>
              <w:top w:val="single" w:sz="4" w:space="0" w:color="auto"/>
              <w:bottom w:val="nil"/>
            </w:tcBorders>
          </w:tcPr>
          <w:p w:rsidR="00F606F8" w:rsidRPr="00662645" w:rsidRDefault="00F606F8" w:rsidP="004956F9">
            <w:pPr>
              <w:pStyle w:val="ListParagraph"/>
              <w:spacing w:after="0" w:line="240" w:lineRule="auto"/>
              <w:ind w:left="0"/>
              <w:jc w:val="center"/>
              <w:rPr>
                <w:rFonts w:ascii="Times New Roman" w:hAnsi="Times New Roman"/>
                <w:color w:val="000000" w:themeColor="text1"/>
                <w:sz w:val="20"/>
                <w:szCs w:val="20"/>
              </w:rPr>
            </w:pPr>
          </w:p>
        </w:tc>
        <w:tc>
          <w:tcPr>
            <w:tcW w:w="1560" w:type="dxa"/>
            <w:tcBorders>
              <w:top w:val="single" w:sz="4" w:space="0" w:color="auto"/>
              <w:bottom w:val="nil"/>
            </w:tcBorders>
          </w:tcPr>
          <w:p w:rsidR="00F606F8" w:rsidRPr="00662645" w:rsidRDefault="00F606F8" w:rsidP="004956F9">
            <w:pPr>
              <w:pStyle w:val="ListParagraph"/>
              <w:spacing w:after="0" w:line="240" w:lineRule="auto"/>
              <w:ind w:left="0"/>
              <w:jc w:val="center"/>
              <w:rPr>
                <w:rFonts w:ascii="Times New Roman" w:hAnsi="Times New Roman"/>
                <w:color w:val="000000" w:themeColor="text1"/>
                <w:sz w:val="20"/>
                <w:szCs w:val="20"/>
              </w:rPr>
            </w:pP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9"/>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rPr>
              <w:t>15</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5</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4,6</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9"/>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rPr>
              <w:t>16</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21</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19,4</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9"/>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rPr>
              <w:t>17</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60</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55,6</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9"/>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rPr>
              <w:t>18</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20</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18,5</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9"/>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rPr>
              <w:t>19</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1,9</w:t>
            </w:r>
          </w:p>
        </w:tc>
      </w:tr>
      <w:tr w:rsidR="00F606F8" w:rsidRPr="00662645" w:rsidTr="004956F9">
        <w:trPr>
          <w:jc w:val="center"/>
        </w:trPr>
        <w:tc>
          <w:tcPr>
            <w:tcW w:w="3828" w:type="dxa"/>
            <w:tcBorders>
              <w:top w:val="single" w:sz="4" w:space="0" w:color="auto"/>
              <w:bottom w:val="nil"/>
            </w:tcBorders>
          </w:tcPr>
          <w:p w:rsidR="00F606F8" w:rsidRPr="00662645" w:rsidRDefault="00F606F8" w:rsidP="004956F9">
            <w:pPr>
              <w:pStyle w:val="ListParagraph"/>
              <w:tabs>
                <w:tab w:val="right" w:pos="2299"/>
              </w:tabs>
              <w:spacing w:after="0" w:line="240" w:lineRule="auto"/>
              <w:ind w:left="0"/>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Mother’s Education</w:t>
            </w:r>
            <w:r w:rsidRPr="00662645">
              <w:rPr>
                <w:rFonts w:ascii="Times New Roman" w:hAnsi="Times New Roman"/>
                <w:color w:val="000000" w:themeColor="text1"/>
                <w:sz w:val="20"/>
                <w:szCs w:val="20"/>
              </w:rPr>
              <w:t xml:space="preserve"> </w:t>
            </w:r>
          </w:p>
        </w:tc>
        <w:tc>
          <w:tcPr>
            <w:tcW w:w="1559"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c>
          <w:tcPr>
            <w:tcW w:w="1560"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0"/>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Primary School</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63</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58,3</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0"/>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Junior High School</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26</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24,1</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0"/>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SeniorHigh School</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19</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17,6</w:t>
            </w:r>
          </w:p>
        </w:tc>
      </w:tr>
      <w:tr w:rsidR="00F606F8" w:rsidRPr="00662645" w:rsidTr="004956F9">
        <w:trPr>
          <w:jc w:val="center"/>
        </w:trPr>
        <w:tc>
          <w:tcPr>
            <w:tcW w:w="3828" w:type="dxa"/>
            <w:tcBorders>
              <w:top w:val="single" w:sz="4" w:space="0" w:color="auto"/>
              <w:bottom w:val="nil"/>
            </w:tcBorders>
          </w:tcPr>
          <w:p w:rsidR="00F606F8" w:rsidRPr="00662645" w:rsidRDefault="00F606F8" w:rsidP="004956F9">
            <w:pPr>
              <w:pStyle w:val="ListParagraph"/>
              <w:tabs>
                <w:tab w:val="right" w:pos="2299"/>
              </w:tabs>
              <w:spacing w:after="0" w:line="240" w:lineRule="auto"/>
              <w:ind w:left="0"/>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Father’s Education</w:t>
            </w:r>
            <w:r w:rsidRPr="00662645">
              <w:rPr>
                <w:rFonts w:ascii="Times New Roman" w:hAnsi="Times New Roman"/>
                <w:color w:val="000000" w:themeColor="text1"/>
                <w:sz w:val="20"/>
                <w:szCs w:val="20"/>
              </w:rPr>
              <w:t xml:space="preserve">  </w:t>
            </w:r>
          </w:p>
        </w:tc>
        <w:tc>
          <w:tcPr>
            <w:tcW w:w="1559"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c>
          <w:tcPr>
            <w:tcW w:w="1560"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1"/>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Pimary School</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63</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58,3</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1"/>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Junior High School</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24</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22,2</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1"/>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Senior High School</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20</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18,5</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1"/>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College</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0,9</w:t>
            </w:r>
          </w:p>
        </w:tc>
      </w:tr>
      <w:tr w:rsidR="00F606F8" w:rsidRPr="00662645" w:rsidTr="004956F9">
        <w:trPr>
          <w:jc w:val="center"/>
        </w:trPr>
        <w:tc>
          <w:tcPr>
            <w:tcW w:w="3828" w:type="dxa"/>
            <w:tcBorders>
              <w:top w:val="single" w:sz="4" w:space="0" w:color="auto"/>
              <w:bottom w:val="nil"/>
            </w:tcBorders>
          </w:tcPr>
          <w:p w:rsidR="00F606F8" w:rsidRPr="00662645" w:rsidRDefault="00F606F8" w:rsidP="004956F9">
            <w:pPr>
              <w:pStyle w:val="ListParagraph"/>
              <w:tabs>
                <w:tab w:val="right" w:pos="2299"/>
              </w:tabs>
              <w:spacing w:after="0" w:line="240" w:lineRule="auto"/>
              <w:ind w:left="0"/>
              <w:rPr>
                <w:rFonts w:ascii="Times New Roman" w:hAnsi="Times New Roman"/>
                <w:color w:val="000000" w:themeColor="text1"/>
                <w:sz w:val="20"/>
                <w:szCs w:val="20"/>
                <w:lang w:val="id-ID"/>
              </w:rPr>
            </w:pPr>
            <w:r w:rsidRPr="00662645">
              <w:rPr>
                <w:rFonts w:ascii="Times New Roman" w:hAnsi="Times New Roman"/>
                <w:color w:val="000000" w:themeColor="text1"/>
                <w:sz w:val="20"/>
                <w:szCs w:val="20"/>
                <w:lang w:val="id-ID"/>
              </w:rPr>
              <w:t>Mother’s Job</w:t>
            </w:r>
          </w:p>
        </w:tc>
        <w:tc>
          <w:tcPr>
            <w:tcW w:w="1559"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c>
          <w:tcPr>
            <w:tcW w:w="1560"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2"/>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Housewife</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55</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50,9</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2"/>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Farmers</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13</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13,0</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2"/>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Trader</w:t>
            </w:r>
            <w:r w:rsidRPr="00662645">
              <w:rPr>
                <w:rFonts w:ascii="Times New Roman" w:hAnsi="Times New Roman"/>
                <w:color w:val="000000" w:themeColor="text1"/>
                <w:sz w:val="20"/>
                <w:szCs w:val="20"/>
              </w:rPr>
              <w:t xml:space="preserve"> </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21</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19,4</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2"/>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Entrepreneur</w:t>
            </w:r>
            <w:r w:rsidRPr="00662645">
              <w:rPr>
                <w:rFonts w:ascii="Times New Roman" w:hAnsi="Times New Roman"/>
                <w:color w:val="000000" w:themeColor="text1"/>
                <w:sz w:val="20"/>
                <w:szCs w:val="20"/>
              </w:rPr>
              <w:t xml:space="preserve"> </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5</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4,6</w:t>
            </w:r>
          </w:p>
        </w:tc>
      </w:tr>
      <w:tr w:rsidR="00F606F8" w:rsidRPr="00662645" w:rsidTr="004956F9">
        <w:trPr>
          <w:jc w:val="center"/>
        </w:trPr>
        <w:tc>
          <w:tcPr>
            <w:tcW w:w="3828" w:type="dxa"/>
            <w:tcBorders>
              <w:top w:val="nil"/>
              <w:bottom w:val="single" w:sz="4" w:space="0" w:color="auto"/>
            </w:tcBorders>
          </w:tcPr>
          <w:p w:rsidR="00F606F8" w:rsidRPr="00662645" w:rsidRDefault="00F606F8" w:rsidP="006C6261">
            <w:pPr>
              <w:pStyle w:val="ListParagraph"/>
              <w:numPr>
                <w:ilvl w:val="0"/>
                <w:numId w:val="12"/>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Etc</w:t>
            </w:r>
          </w:p>
        </w:tc>
        <w:tc>
          <w:tcPr>
            <w:tcW w:w="1559" w:type="dxa"/>
            <w:tcBorders>
              <w:top w:val="nil"/>
              <w:bottom w:val="single" w:sz="4" w:space="0" w:color="auto"/>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13</w:t>
            </w:r>
          </w:p>
        </w:tc>
        <w:tc>
          <w:tcPr>
            <w:tcW w:w="1560" w:type="dxa"/>
            <w:tcBorders>
              <w:top w:val="nil"/>
              <w:bottom w:val="single" w:sz="4" w:space="0" w:color="auto"/>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12,0</w:t>
            </w:r>
          </w:p>
        </w:tc>
      </w:tr>
      <w:tr w:rsidR="00F606F8" w:rsidRPr="00662645" w:rsidTr="004956F9">
        <w:trPr>
          <w:jc w:val="center"/>
        </w:trPr>
        <w:tc>
          <w:tcPr>
            <w:tcW w:w="3828" w:type="dxa"/>
            <w:tcBorders>
              <w:top w:val="single" w:sz="4" w:space="0" w:color="auto"/>
              <w:bottom w:val="nil"/>
            </w:tcBorders>
          </w:tcPr>
          <w:p w:rsidR="00F606F8" w:rsidRPr="00662645" w:rsidRDefault="00F606F8" w:rsidP="004956F9">
            <w:pPr>
              <w:pStyle w:val="ListParagraph"/>
              <w:tabs>
                <w:tab w:val="right" w:pos="2299"/>
              </w:tabs>
              <w:spacing w:after="0" w:line="240" w:lineRule="auto"/>
              <w:ind w:left="0"/>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Father’s Job</w:t>
            </w:r>
            <w:r w:rsidRPr="00662645">
              <w:rPr>
                <w:rFonts w:ascii="Times New Roman" w:hAnsi="Times New Roman"/>
                <w:color w:val="000000" w:themeColor="text1"/>
                <w:sz w:val="20"/>
                <w:szCs w:val="20"/>
              </w:rPr>
              <w:t xml:space="preserve">  </w:t>
            </w:r>
          </w:p>
        </w:tc>
        <w:tc>
          <w:tcPr>
            <w:tcW w:w="1559"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c>
          <w:tcPr>
            <w:tcW w:w="1560"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3"/>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Labor</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19</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17,6</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3"/>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Farmers</w:t>
            </w:r>
            <w:r w:rsidRPr="00662645">
              <w:rPr>
                <w:rFonts w:ascii="Times New Roman" w:hAnsi="Times New Roman"/>
                <w:color w:val="000000" w:themeColor="text1"/>
                <w:sz w:val="20"/>
                <w:szCs w:val="20"/>
              </w:rPr>
              <w:t xml:space="preserve"> </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31</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28,7</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3"/>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Trader</w:t>
            </w:r>
            <w:r w:rsidRPr="00662645">
              <w:rPr>
                <w:rFonts w:ascii="Times New Roman" w:hAnsi="Times New Roman"/>
                <w:color w:val="000000" w:themeColor="text1"/>
                <w:sz w:val="20"/>
                <w:szCs w:val="20"/>
              </w:rPr>
              <w:t xml:space="preserve"> </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18</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16,7</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2"/>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Entrepreneur</w:t>
            </w:r>
            <w:r w:rsidRPr="00662645">
              <w:rPr>
                <w:rFonts w:ascii="Times New Roman" w:hAnsi="Times New Roman"/>
                <w:color w:val="000000" w:themeColor="text1"/>
                <w:sz w:val="20"/>
                <w:szCs w:val="20"/>
              </w:rPr>
              <w:t xml:space="preserve">  </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24</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22,2</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2"/>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Private Sector Worker</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9</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8,3</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2"/>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Etc</w:t>
            </w:r>
            <w:r w:rsidRPr="00662645">
              <w:rPr>
                <w:rFonts w:ascii="Times New Roman" w:hAnsi="Times New Roman"/>
                <w:color w:val="000000" w:themeColor="text1"/>
                <w:sz w:val="20"/>
                <w:szCs w:val="20"/>
              </w:rPr>
              <w:t xml:space="preserve"> </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7</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6,5</w:t>
            </w:r>
          </w:p>
        </w:tc>
      </w:tr>
      <w:tr w:rsidR="00F606F8" w:rsidRPr="00662645" w:rsidTr="004956F9">
        <w:trPr>
          <w:jc w:val="center"/>
        </w:trPr>
        <w:tc>
          <w:tcPr>
            <w:tcW w:w="3828" w:type="dxa"/>
            <w:tcBorders>
              <w:top w:val="single" w:sz="4" w:space="0" w:color="auto"/>
              <w:bottom w:val="nil"/>
            </w:tcBorders>
          </w:tcPr>
          <w:p w:rsidR="00F606F8" w:rsidRPr="00662645" w:rsidRDefault="00F606F8" w:rsidP="004956F9">
            <w:pPr>
              <w:pStyle w:val="ListParagraph"/>
              <w:tabs>
                <w:tab w:val="right" w:pos="2299"/>
              </w:tabs>
              <w:spacing w:after="0" w:line="240" w:lineRule="auto"/>
              <w:ind w:left="0"/>
              <w:rPr>
                <w:rFonts w:ascii="Times New Roman" w:hAnsi="Times New Roman"/>
                <w:color w:val="000000" w:themeColor="text1"/>
                <w:sz w:val="20"/>
                <w:szCs w:val="20"/>
              </w:rPr>
            </w:pPr>
            <w:r w:rsidRPr="00662645">
              <w:rPr>
                <w:rFonts w:ascii="Times New Roman" w:hAnsi="Times New Roman"/>
                <w:color w:val="000000" w:themeColor="text1"/>
                <w:sz w:val="20"/>
                <w:szCs w:val="20"/>
              </w:rPr>
              <w:t xml:space="preserve">Parents </w:t>
            </w:r>
            <w:r w:rsidRPr="00662645">
              <w:rPr>
                <w:rFonts w:ascii="Times New Roman" w:hAnsi="Times New Roman"/>
                <w:color w:val="000000" w:themeColor="text1"/>
                <w:sz w:val="20"/>
                <w:szCs w:val="20"/>
                <w:lang w:val="id-ID"/>
              </w:rPr>
              <w:t>Income</w:t>
            </w:r>
            <w:r w:rsidRPr="00662645">
              <w:rPr>
                <w:rFonts w:ascii="Times New Roman" w:hAnsi="Times New Roman"/>
                <w:color w:val="000000" w:themeColor="text1"/>
                <w:sz w:val="20"/>
                <w:szCs w:val="20"/>
              </w:rPr>
              <w:t xml:space="preserve">  </w:t>
            </w:r>
          </w:p>
        </w:tc>
        <w:tc>
          <w:tcPr>
            <w:tcW w:w="1559"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c>
          <w:tcPr>
            <w:tcW w:w="1560"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4"/>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rPr>
              <w:t>&lt; 1.709.150 (</w:t>
            </w:r>
            <w:r w:rsidRPr="00662645">
              <w:rPr>
                <w:rFonts w:ascii="Times New Roman" w:hAnsi="Times New Roman"/>
                <w:color w:val="000000" w:themeColor="text1"/>
                <w:sz w:val="20"/>
                <w:szCs w:val="20"/>
                <w:lang w:val="id-ID"/>
              </w:rPr>
              <w:t>Regional Minimum Wage</w:t>
            </w:r>
            <w:r w:rsidRPr="00662645">
              <w:rPr>
                <w:rFonts w:ascii="Times New Roman" w:hAnsi="Times New Roman"/>
                <w:color w:val="000000" w:themeColor="text1"/>
                <w:sz w:val="20"/>
                <w:szCs w:val="20"/>
              </w:rPr>
              <w:t>)</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43</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39,8</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4"/>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rPr>
              <w:t xml:space="preserve">&gt; 1.709.150 </w:t>
            </w:r>
            <w:r w:rsidRPr="00662645">
              <w:rPr>
                <w:rFonts w:ascii="Times New Roman" w:hAnsi="Times New Roman"/>
                <w:color w:val="000000" w:themeColor="text1"/>
                <w:sz w:val="20"/>
                <w:szCs w:val="20"/>
                <w:lang w:val="id-ID"/>
              </w:rPr>
              <w:t>(Regional Minimum Wage</w:t>
            </w:r>
            <w:r w:rsidRPr="00662645">
              <w:rPr>
                <w:rFonts w:ascii="Times New Roman" w:hAnsi="Times New Roman"/>
                <w:color w:val="000000" w:themeColor="text1"/>
                <w:sz w:val="20"/>
                <w:szCs w:val="20"/>
              </w:rPr>
              <w:t>)</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65</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60,2</w:t>
            </w:r>
          </w:p>
        </w:tc>
      </w:tr>
      <w:tr w:rsidR="00F606F8" w:rsidRPr="00662645" w:rsidTr="004956F9">
        <w:trPr>
          <w:jc w:val="center"/>
        </w:trPr>
        <w:tc>
          <w:tcPr>
            <w:tcW w:w="3828" w:type="dxa"/>
            <w:tcBorders>
              <w:top w:val="single" w:sz="4" w:space="0" w:color="auto"/>
              <w:bottom w:val="nil"/>
            </w:tcBorders>
          </w:tcPr>
          <w:p w:rsidR="00F606F8" w:rsidRPr="00662645" w:rsidRDefault="00F606F8" w:rsidP="004956F9">
            <w:pPr>
              <w:pStyle w:val="ListParagraph"/>
              <w:tabs>
                <w:tab w:val="right" w:pos="2299"/>
              </w:tabs>
              <w:spacing w:after="0" w:line="240" w:lineRule="auto"/>
              <w:ind w:left="0"/>
              <w:rPr>
                <w:rFonts w:ascii="Times New Roman" w:hAnsi="Times New Roman"/>
                <w:color w:val="000000" w:themeColor="text1"/>
                <w:sz w:val="20"/>
                <w:szCs w:val="20"/>
                <w:lang w:val="id-ID"/>
              </w:rPr>
            </w:pPr>
            <w:r w:rsidRPr="00662645">
              <w:rPr>
                <w:rFonts w:ascii="Times New Roman" w:hAnsi="Times New Roman"/>
                <w:color w:val="000000" w:themeColor="text1"/>
                <w:sz w:val="20"/>
                <w:szCs w:val="20"/>
                <w:lang w:val="id-ID"/>
              </w:rPr>
              <w:t>Obtain Sources Of Information</w:t>
            </w:r>
          </w:p>
        </w:tc>
        <w:tc>
          <w:tcPr>
            <w:tcW w:w="1559"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c>
          <w:tcPr>
            <w:tcW w:w="1560" w:type="dxa"/>
            <w:tcBorders>
              <w:top w:val="single" w:sz="4" w:space="0" w:color="auto"/>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5"/>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No Information Obtained</w:t>
            </w:r>
            <w:r w:rsidRPr="00662645">
              <w:rPr>
                <w:rFonts w:ascii="Times New Roman" w:hAnsi="Times New Roman"/>
                <w:color w:val="000000" w:themeColor="text1"/>
                <w:sz w:val="20"/>
                <w:szCs w:val="20"/>
              </w:rPr>
              <w:t xml:space="preserve">  </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29</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26,9</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5"/>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Print/Non-print Media</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31</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28,7</w:t>
            </w:r>
          </w:p>
        </w:tc>
      </w:tr>
      <w:tr w:rsidR="00F606F8" w:rsidRPr="00662645" w:rsidTr="004956F9">
        <w:trPr>
          <w:jc w:val="center"/>
        </w:trPr>
        <w:tc>
          <w:tcPr>
            <w:tcW w:w="3828" w:type="dxa"/>
            <w:tcBorders>
              <w:top w:val="nil"/>
              <w:bottom w:val="nil"/>
            </w:tcBorders>
          </w:tcPr>
          <w:p w:rsidR="00F606F8" w:rsidRPr="00662645" w:rsidRDefault="00F606F8" w:rsidP="006C6261">
            <w:pPr>
              <w:pStyle w:val="ListParagraph"/>
              <w:numPr>
                <w:ilvl w:val="0"/>
                <w:numId w:val="15"/>
              </w:numPr>
              <w:spacing w:after="0" w:line="240" w:lineRule="auto"/>
              <w:ind w:left="601"/>
              <w:rPr>
                <w:rFonts w:ascii="Times New Roman" w:hAnsi="Times New Roman"/>
                <w:color w:val="000000" w:themeColor="text1"/>
                <w:sz w:val="20"/>
                <w:szCs w:val="20"/>
              </w:rPr>
            </w:pPr>
            <w:r w:rsidRPr="00662645">
              <w:rPr>
                <w:rFonts w:ascii="Times New Roman" w:hAnsi="Times New Roman"/>
                <w:color w:val="000000" w:themeColor="text1"/>
                <w:sz w:val="20"/>
                <w:szCs w:val="20"/>
                <w:lang w:val="id-ID"/>
              </w:rPr>
              <w:t>Non-Printed/Electronic</w:t>
            </w:r>
            <w:r w:rsidRPr="00662645">
              <w:rPr>
                <w:rFonts w:ascii="Times New Roman" w:hAnsi="Times New Roman"/>
                <w:color w:val="000000" w:themeColor="text1"/>
                <w:sz w:val="20"/>
                <w:szCs w:val="20"/>
              </w:rPr>
              <w:t xml:space="preserve">  </w:t>
            </w:r>
          </w:p>
        </w:tc>
        <w:tc>
          <w:tcPr>
            <w:tcW w:w="1559"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48</w:t>
            </w:r>
          </w:p>
        </w:tc>
        <w:tc>
          <w:tcPr>
            <w:tcW w:w="1560" w:type="dxa"/>
            <w:tcBorders>
              <w:top w:val="nil"/>
              <w:bottom w:val="nil"/>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44,4</w:t>
            </w:r>
          </w:p>
        </w:tc>
      </w:tr>
      <w:tr w:rsidR="00F606F8" w:rsidRPr="00662645" w:rsidTr="004956F9">
        <w:trPr>
          <w:jc w:val="center"/>
        </w:trPr>
        <w:tc>
          <w:tcPr>
            <w:tcW w:w="3828" w:type="dxa"/>
            <w:tcBorders>
              <w:top w:val="single" w:sz="4" w:space="0" w:color="auto"/>
              <w:bottom w:val="single" w:sz="4" w:space="0" w:color="auto"/>
            </w:tcBorders>
          </w:tcPr>
          <w:p w:rsidR="00F606F8" w:rsidRPr="00662645" w:rsidRDefault="00F606F8" w:rsidP="004956F9">
            <w:pPr>
              <w:pStyle w:val="ListParagraph"/>
              <w:spacing w:after="0" w:line="240" w:lineRule="auto"/>
              <w:ind w:left="0"/>
              <w:jc w:val="center"/>
              <w:rPr>
                <w:rFonts w:ascii="Times New Roman" w:hAnsi="Times New Roman"/>
                <w:b/>
                <w:color w:val="000000" w:themeColor="text1"/>
                <w:sz w:val="20"/>
                <w:szCs w:val="20"/>
                <w:lang w:val="id-ID"/>
              </w:rPr>
            </w:pPr>
            <w:r w:rsidRPr="00662645">
              <w:rPr>
                <w:rFonts w:ascii="Times New Roman" w:hAnsi="Times New Roman"/>
                <w:b/>
                <w:color w:val="000000" w:themeColor="text1"/>
                <w:sz w:val="20"/>
                <w:szCs w:val="20"/>
                <w:lang w:val="id-ID"/>
              </w:rPr>
              <w:t>Total</w:t>
            </w:r>
          </w:p>
        </w:tc>
        <w:tc>
          <w:tcPr>
            <w:tcW w:w="1559" w:type="dxa"/>
            <w:tcBorders>
              <w:top w:val="single" w:sz="4" w:space="0" w:color="auto"/>
              <w:bottom w:val="single" w:sz="4" w:space="0" w:color="auto"/>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108</w:t>
            </w:r>
          </w:p>
        </w:tc>
        <w:tc>
          <w:tcPr>
            <w:tcW w:w="1560" w:type="dxa"/>
            <w:tcBorders>
              <w:top w:val="single" w:sz="4" w:space="0" w:color="auto"/>
              <w:bottom w:val="single" w:sz="4" w:space="0" w:color="auto"/>
            </w:tcBorders>
          </w:tcPr>
          <w:p w:rsidR="00F606F8" w:rsidRPr="00662645" w:rsidRDefault="00F606F8" w:rsidP="004956F9">
            <w:pPr>
              <w:pStyle w:val="ListParagraph"/>
              <w:spacing w:after="0" w:line="240" w:lineRule="auto"/>
              <w:ind w:left="0"/>
              <w:jc w:val="right"/>
              <w:rPr>
                <w:rFonts w:ascii="Times New Roman" w:hAnsi="Times New Roman"/>
                <w:color w:val="000000" w:themeColor="text1"/>
                <w:sz w:val="20"/>
                <w:szCs w:val="20"/>
              </w:rPr>
            </w:pPr>
            <w:r w:rsidRPr="00662645">
              <w:rPr>
                <w:rFonts w:ascii="Times New Roman" w:hAnsi="Times New Roman"/>
                <w:color w:val="000000" w:themeColor="text1"/>
                <w:sz w:val="20"/>
                <w:szCs w:val="20"/>
              </w:rPr>
              <w:t>100,0</w:t>
            </w:r>
          </w:p>
        </w:tc>
      </w:tr>
    </w:tbl>
    <w:p w:rsidR="009A1E3A" w:rsidRDefault="009A1E3A" w:rsidP="00F606F8">
      <w:pPr>
        <w:ind w:firstLine="720"/>
        <w:jc w:val="both"/>
        <w:rPr>
          <w:lang w:val="id-ID"/>
        </w:rPr>
      </w:pPr>
    </w:p>
    <w:p w:rsidR="00346A74" w:rsidRPr="00662645" w:rsidRDefault="00346A74" w:rsidP="006C6261">
      <w:pPr>
        <w:pStyle w:val="ListParagraph"/>
        <w:numPr>
          <w:ilvl w:val="0"/>
          <w:numId w:val="8"/>
        </w:numPr>
        <w:spacing w:line="240" w:lineRule="auto"/>
        <w:ind w:left="709" w:hanging="283"/>
        <w:jc w:val="both"/>
        <w:rPr>
          <w:rFonts w:ascii="Times New Roman" w:hAnsi="Times New Roman"/>
          <w:color w:val="000000" w:themeColor="text1"/>
          <w:sz w:val="20"/>
          <w:szCs w:val="20"/>
        </w:rPr>
      </w:pPr>
      <w:r w:rsidRPr="00662645">
        <w:rPr>
          <w:rFonts w:ascii="Times New Roman" w:hAnsi="Times New Roman"/>
          <w:color w:val="000000" w:themeColor="text1"/>
          <w:sz w:val="20"/>
          <w:szCs w:val="20"/>
        </w:rPr>
        <w:t>Description of the level of knowledge about risky pregnancies</w:t>
      </w:r>
    </w:p>
    <w:p w:rsidR="00346A74" w:rsidRDefault="00346A74" w:rsidP="00346A74">
      <w:pPr>
        <w:pStyle w:val="ListParagraph"/>
        <w:tabs>
          <w:tab w:val="left" w:pos="993"/>
        </w:tabs>
        <w:spacing w:line="240" w:lineRule="auto"/>
        <w:ind w:left="709" w:firstLine="567"/>
        <w:jc w:val="both"/>
        <w:rPr>
          <w:rFonts w:ascii="Times New Roman" w:hAnsi="Times New Roman"/>
          <w:color w:val="000000" w:themeColor="text1"/>
          <w:sz w:val="20"/>
          <w:szCs w:val="20"/>
        </w:rPr>
      </w:pPr>
      <w:r w:rsidRPr="00662645">
        <w:rPr>
          <w:rFonts w:ascii="Times New Roman" w:hAnsi="Times New Roman"/>
          <w:color w:val="000000" w:themeColor="text1"/>
          <w:sz w:val="20"/>
          <w:szCs w:val="20"/>
        </w:rPr>
        <w:t xml:space="preserve">The description of the research data of respondents' answers shows that the answers are categorized as good, sufficient and lacking. Knowledge about risky pregnancies before </w:t>
      </w:r>
      <w:proofErr w:type="spellStart"/>
      <w:r w:rsidRPr="00662645">
        <w:rPr>
          <w:rFonts w:ascii="Times New Roman" w:hAnsi="Times New Roman"/>
          <w:color w:val="000000" w:themeColor="text1"/>
          <w:sz w:val="20"/>
          <w:szCs w:val="20"/>
        </w:rPr>
        <w:t>counseling</w:t>
      </w:r>
      <w:proofErr w:type="spellEnd"/>
      <w:r w:rsidRPr="00662645">
        <w:rPr>
          <w:rFonts w:ascii="Times New Roman" w:hAnsi="Times New Roman"/>
          <w:color w:val="000000" w:themeColor="text1"/>
          <w:sz w:val="20"/>
          <w:szCs w:val="20"/>
        </w:rPr>
        <w:t xml:space="preserve"> shows that 77 respondents (71.3%) are in the good category and 7 respondents (6.5%) are in the poor category. Knowledge about risky pregnancy after </w:t>
      </w:r>
      <w:proofErr w:type="spellStart"/>
      <w:r w:rsidRPr="00662645">
        <w:rPr>
          <w:rFonts w:ascii="Times New Roman" w:hAnsi="Times New Roman"/>
          <w:color w:val="000000" w:themeColor="text1"/>
          <w:sz w:val="20"/>
          <w:szCs w:val="20"/>
        </w:rPr>
        <w:t>counseling</w:t>
      </w:r>
      <w:proofErr w:type="spellEnd"/>
      <w:r w:rsidRPr="00662645">
        <w:rPr>
          <w:rFonts w:ascii="Times New Roman" w:hAnsi="Times New Roman"/>
          <w:color w:val="000000" w:themeColor="text1"/>
          <w:sz w:val="20"/>
          <w:szCs w:val="20"/>
        </w:rPr>
        <w:t xml:space="preserve"> is mostly in the good category amounting to 89 people (82.4%) and less categories amounting to 2 people (1.9%).</w:t>
      </w:r>
    </w:p>
    <w:p w:rsidR="00346A74" w:rsidRDefault="00346A74" w:rsidP="00346A74">
      <w:pPr>
        <w:pStyle w:val="ListParagraph"/>
        <w:tabs>
          <w:tab w:val="left" w:pos="993"/>
        </w:tabs>
        <w:spacing w:after="0" w:line="240" w:lineRule="auto"/>
        <w:ind w:left="709" w:firstLine="567"/>
        <w:jc w:val="both"/>
        <w:rPr>
          <w:rFonts w:ascii="Times New Roman" w:hAnsi="Times New Roman"/>
          <w:color w:val="000000" w:themeColor="text1"/>
          <w:sz w:val="20"/>
          <w:szCs w:val="20"/>
        </w:rPr>
      </w:pPr>
      <w:r w:rsidRPr="00662645">
        <w:rPr>
          <w:rFonts w:ascii="Times New Roman" w:hAnsi="Times New Roman"/>
          <w:color w:val="000000" w:themeColor="text1"/>
          <w:sz w:val="20"/>
          <w:szCs w:val="20"/>
        </w:rPr>
        <w:t>Based on the description above, it can be seen the frequency distribution of knowledge about risky pregnancies in table 2.</w:t>
      </w:r>
    </w:p>
    <w:p w:rsidR="00346A74" w:rsidRDefault="00346A74" w:rsidP="00346A74">
      <w:pPr>
        <w:pStyle w:val="ListParagraph"/>
        <w:tabs>
          <w:tab w:val="left" w:pos="993"/>
        </w:tabs>
        <w:spacing w:after="0" w:line="240" w:lineRule="auto"/>
        <w:ind w:left="709" w:firstLine="567"/>
        <w:jc w:val="both"/>
        <w:rPr>
          <w:rFonts w:ascii="Times New Roman" w:hAnsi="Times New Roman"/>
          <w:color w:val="000000" w:themeColor="text1"/>
          <w:sz w:val="20"/>
          <w:szCs w:val="20"/>
        </w:rPr>
      </w:pPr>
    </w:p>
    <w:p w:rsidR="00346A74" w:rsidRPr="00662645" w:rsidRDefault="00346A74" w:rsidP="00346A74">
      <w:pPr>
        <w:pStyle w:val="ListParagraph"/>
        <w:tabs>
          <w:tab w:val="left" w:pos="709"/>
        </w:tabs>
        <w:spacing w:after="0" w:line="240" w:lineRule="auto"/>
        <w:ind w:left="709"/>
        <w:jc w:val="both"/>
        <w:rPr>
          <w:rFonts w:ascii="Times New Roman" w:hAnsi="Times New Roman"/>
          <w:color w:val="000000" w:themeColor="text1"/>
          <w:sz w:val="20"/>
          <w:szCs w:val="20"/>
        </w:rPr>
      </w:pPr>
      <w:r w:rsidRPr="00662645">
        <w:rPr>
          <w:rFonts w:ascii="Times New Roman" w:hAnsi="Times New Roman"/>
          <w:bCs/>
          <w:color w:val="000000" w:themeColor="text1"/>
          <w:sz w:val="20"/>
          <w:szCs w:val="20"/>
          <w:lang w:val="it-IT"/>
        </w:rPr>
        <w:t>Table 2</w:t>
      </w:r>
      <w:r w:rsidRPr="00662645">
        <w:rPr>
          <w:rFonts w:ascii="Times New Roman" w:hAnsi="Times New Roman"/>
          <w:bCs/>
          <w:color w:val="000000" w:themeColor="text1"/>
          <w:sz w:val="20"/>
          <w:szCs w:val="20"/>
        </w:rPr>
        <w:t>.</w:t>
      </w:r>
      <w:r w:rsidRPr="00662645">
        <w:rPr>
          <w:rFonts w:ascii="Times New Roman" w:hAnsi="Times New Roman"/>
          <w:bCs/>
          <w:color w:val="000000" w:themeColor="text1"/>
          <w:sz w:val="20"/>
          <w:szCs w:val="20"/>
          <w:lang w:val="it-IT"/>
        </w:rPr>
        <w:t xml:space="preserve"> </w:t>
      </w:r>
      <w:r w:rsidRPr="00662645">
        <w:rPr>
          <w:rFonts w:ascii="Times New Roman" w:hAnsi="Times New Roman"/>
          <w:color w:val="000000" w:themeColor="text1"/>
          <w:sz w:val="20"/>
          <w:szCs w:val="20"/>
        </w:rPr>
        <w:t xml:space="preserve">Frequency Distribution of Knowledge about Risks of Pregnancy at SMK </w:t>
      </w:r>
      <w:proofErr w:type="spellStart"/>
      <w:r w:rsidRPr="00662645">
        <w:rPr>
          <w:rFonts w:ascii="Times New Roman" w:hAnsi="Times New Roman"/>
          <w:color w:val="000000" w:themeColor="text1"/>
          <w:sz w:val="20"/>
          <w:szCs w:val="20"/>
        </w:rPr>
        <w:t>Muhammadiyah</w:t>
      </w:r>
      <w:proofErr w:type="spellEnd"/>
      <w:r w:rsidRPr="00662645">
        <w:rPr>
          <w:rFonts w:ascii="Times New Roman" w:hAnsi="Times New Roman"/>
          <w:color w:val="000000" w:themeColor="text1"/>
          <w:sz w:val="20"/>
          <w:szCs w:val="20"/>
        </w:rPr>
        <w:t xml:space="preserve"> 1 </w:t>
      </w:r>
      <w:proofErr w:type="spellStart"/>
      <w:r w:rsidRPr="00662645">
        <w:rPr>
          <w:rFonts w:ascii="Times New Roman" w:hAnsi="Times New Roman"/>
          <w:color w:val="000000" w:themeColor="text1"/>
          <w:sz w:val="20"/>
          <w:szCs w:val="20"/>
        </w:rPr>
        <w:t>Wonosobo</w:t>
      </w:r>
      <w:proofErr w:type="spellEnd"/>
    </w:p>
    <w:tbl>
      <w:tblPr>
        <w:tblW w:w="7156" w:type="dxa"/>
        <w:jc w:val="center"/>
        <w:tblBorders>
          <w:top w:val="single" w:sz="4" w:space="0" w:color="auto"/>
          <w:bottom w:val="single" w:sz="4" w:space="0" w:color="auto"/>
        </w:tblBorders>
        <w:tblLayout w:type="fixed"/>
        <w:tblLook w:val="00A0" w:firstRow="1" w:lastRow="0" w:firstColumn="1" w:lastColumn="0" w:noHBand="0" w:noVBand="0"/>
      </w:tblPr>
      <w:tblGrid>
        <w:gridCol w:w="1559"/>
        <w:gridCol w:w="640"/>
        <w:gridCol w:w="709"/>
        <w:gridCol w:w="638"/>
        <w:gridCol w:w="780"/>
        <w:gridCol w:w="635"/>
        <w:gridCol w:w="704"/>
        <w:gridCol w:w="782"/>
        <w:gridCol w:w="709"/>
      </w:tblGrid>
      <w:tr w:rsidR="00346A74" w:rsidRPr="00662645" w:rsidTr="004956F9">
        <w:trPr>
          <w:cantSplit/>
          <w:trHeight w:val="285"/>
          <w:jc w:val="center"/>
        </w:trPr>
        <w:tc>
          <w:tcPr>
            <w:tcW w:w="1559" w:type="dxa"/>
            <w:vMerge w:val="restart"/>
            <w:tcBorders>
              <w:top w:val="single" w:sz="4" w:space="0" w:color="auto"/>
            </w:tcBorders>
            <w:vAlign w:val="center"/>
          </w:tcPr>
          <w:p w:rsidR="00346A74" w:rsidRPr="00662645" w:rsidRDefault="00346A74" w:rsidP="004956F9">
            <w:pPr>
              <w:tabs>
                <w:tab w:val="left" w:pos="1560"/>
              </w:tabs>
              <w:jc w:val="center"/>
              <w:rPr>
                <w:bCs/>
                <w:color w:val="000000" w:themeColor="text1"/>
                <w:lang w:val="id-ID"/>
              </w:rPr>
            </w:pPr>
            <w:r w:rsidRPr="00662645">
              <w:rPr>
                <w:bCs/>
                <w:color w:val="000000" w:themeColor="text1"/>
                <w:lang w:val="id-ID"/>
              </w:rPr>
              <w:t>Knowledge Level</w:t>
            </w:r>
          </w:p>
        </w:tc>
        <w:tc>
          <w:tcPr>
            <w:tcW w:w="4106" w:type="dxa"/>
            <w:gridSpan w:val="6"/>
            <w:tcBorders>
              <w:top w:val="single" w:sz="4" w:space="0" w:color="auto"/>
              <w:bottom w:val="single" w:sz="4" w:space="0" w:color="auto"/>
            </w:tcBorders>
            <w:vAlign w:val="center"/>
          </w:tcPr>
          <w:p w:rsidR="00346A74" w:rsidRPr="00662645" w:rsidRDefault="00346A74" w:rsidP="004956F9">
            <w:pPr>
              <w:tabs>
                <w:tab w:val="left" w:pos="1560"/>
              </w:tabs>
              <w:jc w:val="center"/>
              <w:rPr>
                <w:bCs/>
                <w:color w:val="000000" w:themeColor="text1"/>
                <w:lang w:val="id-ID"/>
              </w:rPr>
            </w:pPr>
            <w:r w:rsidRPr="00662645">
              <w:rPr>
                <w:bCs/>
                <w:color w:val="000000" w:themeColor="text1"/>
                <w:lang w:val="id-ID"/>
              </w:rPr>
              <w:t>Category</w:t>
            </w:r>
          </w:p>
        </w:tc>
        <w:tc>
          <w:tcPr>
            <w:tcW w:w="1491" w:type="dxa"/>
            <w:gridSpan w:val="2"/>
            <w:vMerge w:val="restart"/>
            <w:tcBorders>
              <w:top w:val="single" w:sz="4" w:space="0" w:color="auto"/>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Total</w:t>
            </w:r>
          </w:p>
          <w:p w:rsidR="00346A74" w:rsidRPr="00662645" w:rsidRDefault="00346A74" w:rsidP="004956F9">
            <w:pPr>
              <w:tabs>
                <w:tab w:val="left" w:pos="1560"/>
              </w:tabs>
              <w:jc w:val="center"/>
              <w:rPr>
                <w:bCs/>
                <w:color w:val="000000" w:themeColor="text1"/>
              </w:rPr>
            </w:pPr>
          </w:p>
        </w:tc>
      </w:tr>
      <w:tr w:rsidR="00346A74" w:rsidRPr="00662645" w:rsidTr="004956F9">
        <w:trPr>
          <w:cantSplit/>
          <w:trHeight w:val="285"/>
          <w:jc w:val="center"/>
        </w:trPr>
        <w:tc>
          <w:tcPr>
            <w:tcW w:w="1559" w:type="dxa"/>
            <w:vMerge/>
            <w:tcBorders>
              <w:bottom w:val="single" w:sz="4" w:space="0" w:color="auto"/>
            </w:tcBorders>
            <w:vAlign w:val="center"/>
          </w:tcPr>
          <w:p w:rsidR="00346A74" w:rsidRPr="00662645" w:rsidRDefault="00346A74" w:rsidP="004956F9">
            <w:pPr>
              <w:tabs>
                <w:tab w:val="left" w:pos="1560"/>
              </w:tabs>
              <w:jc w:val="center"/>
              <w:rPr>
                <w:bCs/>
                <w:color w:val="000000" w:themeColor="text1"/>
                <w:lang w:val="sv-SE"/>
              </w:rPr>
            </w:pPr>
          </w:p>
        </w:tc>
        <w:tc>
          <w:tcPr>
            <w:tcW w:w="1349" w:type="dxa"/>
            <w:gridSpan w:val="2"/>
            <w:tcBorders>
              <w:top w:val="single" w:sz="4" w:space="0" w:color="auto"/>
              <w:bottom w:val="single" w:sz="4" w:space="0" w:color="auto"/>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lang w:val="id-ID"/>
              </w:rPr>
              <w:t>Less</w:t>
            </w:r>
            <w:r w:rsidRPr="00662645">
              <w:rPr>
                <w:bCs/>
                <w:color w:val="000000" w:themeColor="text1"/>
              </w:rPr>
              <w:t xml:space="preserve"> </w:t>
            </w:r>
          </w:p>
        </w:tc>
        <w:tc>
          <w:tcPr>
            <w:tcW w:w="1418" w:type="dxa"/>
            <w:gridSpan w:val="2"/>
            <w:tcBorders>
              <w:top w:val="single" w:sz="4" w:space="0" w:color="auto"/>
              <w:bottom w:val="single" w:sz="4" w:space="0" w:color="auto"/>
            </w:tcBorders>
            <w:vAlign w:val="center"/>
          </w:tcPr>
          <w:p w:rsidR="00346A74" w:rsidRPr="00662645" w:rsidRDefault="00346A74" w:rsidP="004956F9">
            <w:pPr>
              <w:tabs>
                <w:tab w:val="left" w:pos="1560"/>
              </w:tabs>
              <w:jc w:val="center"/>
              <w:rPr>
                <w:bCs/>
                <w:color w:val="000000" w:themeColor="text1"/>
                <w:lang w:val="id-ID"/>
              </w:rPr>
            </w:pPr>
            <w:r w:rsidRPr="00662645">
              <w:rPr>
                <w:bCs/>
                <w:color w:val="000000" w:themeColor="text1"/>
                <w:lang w:val="id-ID"/>
              </w:rPr>
              <w:t>Enough</w:t>
            </w:r>
          </w:p>
        </w:tc>
        <w:tc>
          <w:tcPr>
            <w:tcW w:w="1339" w:type="dxa"/>
            <w:gridSpan w:val="2"/>
            <w:tcBorders>
              <w:top w:val="single" w:sz="4" w:space="0" w:color="auto"/>
              <w:bottom w:val="single" w:sz="4" w:space="0" w:color="auto"/>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lang w:val="id-ID"/>
              </w:rPr>
              <w:t>Good</w:t>
            </w:r>
            <w:r w:rsidRPr="00662645">
              <w:rPr>
                <w:bCs/>
                <w:color w:val="000000" w:themeColor="text1"/>
              </w:rPr>
              <w:t xml:space="preserve"> </w:t>
            </w:r>
          </w:p>
        </w:tc>
        <w:tc>
          <w:tcPr>
            <w:tcW w:w="1491" w:type="dxa"/>
            <w:gridSpan w:val="2"/>
            <w:vMerge/>
            <w:tcBorders>
              <w:bottom w:val="single" w:sz="4" w:space="0" w:color="auto"/>
            </w:tcBorders>
            <w:vAlign w:val="center"/>
          </w:tcPr>
          <w:p w:rsidR="00346A74" w:rsidRPr="00662645" w:rsidRDefault="00346A74" w:rsidP="004956F9">
            <w:pPr>
              <w:tabs>
                <w:tab w:val="left" w:pos="1560"/>
              </w:tabs>
              <w:jc w:val="center"/>
              <w:rPr>
                <w:bCs/>
                <w:color w:val="000000" w:themeColor="text1"/>
              </w:rPr>
            </w:pPr>
          </w:p>
        </w:tc>
      </w:tr>
      <w:tr w:rsidR="00346A74" w:rsidRPr="00662645" w:rsidTr="004956F9">
        <w:trPr>
          <w:cantSplit/>
          <w:trHeight w:val="285"/>
          <w:jc w:val="center"/>
        </w:trPr>
        <w:tc>
          <w:tcPr>
            <w:tcW w:w="1559" w:type="dxa"/>
            <w:tcBorders>
              <w:bottom w:val="single" w:sz="4" w:space="0" w:color="auto"/>
              <w:right w:val="nil"/>
            </w:tcBorders>
            <w:vAlign w:val="center"/>
          </w:tcPr>
          <w:p w:rsidR="00346A74" w:rsidRPr="00662645" w:rsidRDefault="00346A74" w:rsidP="004956F9">
            <w:pPr>
              <w:tabs>
                <w:tab w:val="left" w:pos="1560"/>
              </w:tabs>
              <w:jc w:val="center"/>
              <w:rPr>
                <w:bCs/>
                <w:color w:val="000000" w:themeColor="text1"/>
                <w:lang w:val="sv-SE"/>
              </w:rPr>
            </w:pPr>
          </w:p>
        </w:tc>
        <w:tc>
          <w:tcPr>
            <w:tcW w:w="640"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F</w:t>
            </w:r>
          </w:p>
        </w:tc>
        <w:tc>
          <w:tcPr>
            <w:tcW w:w="709"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w:t>
            </w:r>
          </w:p>
        </w:tc>
        <w:tc>
          <w:tcPr>
            <w:tcW w:w="638"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f</w:t>
            </w:r>
          </w:p>
        </w:tc>
        <w:tc>
          <w:tcPr>
            <w:tcW w:w="780"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w:t>
            </w:r>
          </w:p>
        </w:tc>
        <w:tc>
          <w:tcPr>
            <w:tcW w:w="635"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f</w:t>
            </w:r>
          </w:p>
        </w:tc>
        <w:tc>
          <w:tcPr>
            <w:tcW w:w="704" w:type="dxa"/>
            <w:tcBorders>
              <w:top w:val="single" w:sz="4" w:space="0" w:color="auto"/>
              <w:left w:val="nil"/>
              <w:bottom w:val="single" w:sz="4" w:space="0" w:color="auto"/>
              <w:right w:val="nil"/>
            </w:tcBorders>
            <w:vAlign w:val="center"/>
          </w:tcPr>
          <w:p w:rsidR="00346A74" w:rsidRPr="00662645" w:rsidRDefault="00346A74" w:rsidP="004956F9">
            <w:pPr>
              <w:jc w:val="center"/>
              <w:rPr>
                <w:bCs/>
                <w:color w:val="000000" w:themeColor="text1"/>
              </w:rPr>
            </w:pPr>
            <w:r w:rsidRPr="00662645">
              <w:rPr>
                <w:bCs/>
                <w:color w:val="000000" w:themeColor="text1"/>
              </w:rPr>
              <w:t>%</w:t>
            </w:r>
          </w:p>
        </w:tc>
        <w:tc>
          <w:tcPr>
            <w:tcW w:w="782" w:type="dxa"/>
            <w:tcBorders>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f</w:t>
            </w:r>
          </w:p>
        </w:tc>
        <w:tc>
          <w:tcPr>
            <w:tcW w:w="709" w:type="dxa"/>
            <w:tcBorders>
              <w:left w:val="nil"/>
              <w:bottom w:val="single" w:sz="4" w:space="0" w:color="auto"/>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w:t>
            </w:r>
          </w:p>
        </w:tc>
      </w:tr>
      <w:tr w:rsidR="00346A74" w:rsidRPr="00662645" w:rsidTr="004956F9">
        <w:trPr>
          <w:cantSplit/>
          <w:trHeight w:val="70"/>
          <w:jc w:val="center"/>
        </w:trPr>
        <w:tc>
          <w:tcPr>
            <w:tcW w:w="1559" w:type="dxa"/>
            <w:tcBorders>
              <w:top w:val="single" w:sz="4" w:space="0" w:color="auto"/>
              <w:bottom w:val="single" w:sz="4" w:space="0" w:color="auto"/>
              <w:right w:val="nil"/>
            </w:tcBorders>
          </w:tcPr>
          <w:p w:rsidR="00346A74" w:rsidRPr="00662645" w:rsidRDefault="00346A74" w:rsidP="004956F9">
            <w:pPr>
              <w:tabs>
                <w:tab w:val="left" w:pos="1560"/>
              </w:tabs>
              <w:rPr>
                <w:bCs/>
                <w:color w:val="000000" w:themeColor="text1"/>
              </w:rPr>
            </w:pPr>
            <w:r w:rsidRPr="00662645">
              <w:rPr>
                <w:i/>
                <w:color w:val="000000" w:themeColor="text1"/>
              </w:rPr>
              <w:t>Pre</w:t>
            </w:r>
            <w:r w:rsidRPr="00662645">
              <w:rPr>
                <w:i/>
                <w:color w:val="000000" w:themeColor="text1"/>
                <w:lang w:val="id-ID"/>
              </w:rPr>
              <w:t>-</w:t>
            </w:r>
            <w:r w:rsidRPr="00662645">
              <w:rPr>
                <w:i/>
                <w:color w:val="000000" w:themeColor="text1"/>
              </w:rPr>
              <w:t>test</w:t>
            </w:r>
            <w:r w:rsidRPr="00662645">
              <w:rPr>
                <w:color w:val="000000" w:themeColor="text1"/>
              </w:rPr>
              <w:t xml:space="preserve"> </w:t>
            </w:r>
          </w:p>
        </w:tc>
        <w:tc>
          <w:tcPr>
            <w:tcW w:w="640"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7</w:t>
            </w:r>
          </w:p>
        </w:tc>
        <w:tc>
          <w:tcPr>
            <w:tcW w:w="709"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6,5</w:t>
            </w:r>
          </w:p>
        </w:tc>
        <w:tc>
          <w:tcPr>
            <w:tcW w:w="638"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24</w:t>
            </w:r>
          </w:p>
        </w:tc>
        <w:tc>
          <w:tcPr>
            <w:tcW w:w="780"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22,2</w:t>
            </w:r>
          </w:p>
        </w:tc>
        <w:tc>
          <w:tcPr>
            <w:tcW w:w="635"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77</w:t>
            </w:r>
          </w:p>
        </w:tc>
        <w:tc>
          <w:tcPr>
            <w:tcW w:w="704"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71,3</w:t>
            </w:r>
          </w:p>
        </w:tc>
        <w:tc>
          <w:tcPr>
            <w:tcW w:w="782"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108</w:t>
            </w:r>
          </w:p>
        </w:tc>
        <w:tc>
          <w:tcPr>
            <w:tcW w:w="709" w:type="dxa"/>
            <w:tcBorders>
              <w:top w:val="single" w:sz="4" w:space="0" w:color="auto"/>
              <w:left w:val="nil"/>
              <w:bottom w:val="single" w:sz="4" w:space="0" w:color="auto"/>
            </w:tcBorders>
          </w:tcPr>
          <w:p w:rsidR="00346A74" w:rsidRPr="00662645" w:rsidRDefault="00346A74" w:rsidP="004956F9">
            <w:pPr>
              <w:tabs>
                <w:tab w:val="left" w:pos="1560"/>
              </w:tabs>
              <w:jc w:val="center"/>
              <w:rPr>
                <w:bCs/>
                <w:color w:val="000000" w:themeColor="text1"/>
              </w:rPr>
            </w:pPr>
            <w:r w:rsidRPr="00662645">
              <w:rPr>
                <w:bCs/>
                <w:color w:val="000000" w:themeColor="text1"/>
              </w:rPr>
              <w:t>100</w:t>
            </w:r>
          </w:p>
        </w:tc>
      </w:tr>
      <w:tr w:rsidR="00346A74" w:rsidRPr="00662645" w:rsidTr="004956F9">
        <w:trPr>
          <w:cantSplit/>
          <w:trHeight w:val="48"/>
          <w:jc w:val="center"/>
        </w:trPr>
        <w:tc>
          <w:tcPr>
            <w:tcW w:w="1559" w:type="dxa"/>
            <w:tcBorders>
              <w:top w:val="single" w:sz="4" w:space="0" w:color="auto"/>
              <w:bottom w:val="single" w:sz="4" w:space="0" w:color="auto"/>
              <w:right w:val="nil"/>
            </w:tcBorders>
          </w:tcPr>
          <w:p w:rsidR="00346A74" w:rsidRPr="00662645" w:rsidRDefault="00346A74" w:rsidP="004956F9">
            <w:pPr>
              <w:tabs>
                <w:tab w:val="left" w:pos="1560"/>
              </w:tabs>
              <w:rPr>
                <w:bCs/>
                <w:i/>
                <w:color w:val="000000" w:themeColor="text1"/>
              </w:rPr>
            </w:pPr>
            <w:r w:rsidRPr="00662645">
              <w:rPr>
                <w:i/>
                <w:color w:val="000000" w:themeColor="text1"/>
              </w:rPr>
              <w:t>Post</w:t>
            </w:r>
            <w:r w:rsidRPr="00662645">
              <w:rPr>
                <w:i/>
                <w:color w:val="000000" w:themeColor="text1"/>
                <w:lang w:val="id-ID"/>
              </w:rPr>
              <w:t>-t</w:t>
            </w:r>
            <w:proofErr w:type="spellStart"/>
            <w:r w:rsidRPr="00662645">
              <w:rPr>
                <w:i/>
                <w:color w:val="000000" w:themeColor="text1"/>
              </w:rPr>
              <w:t>est</w:t>
            </w:r>
            <w:proofErr w:type="spellEnd"/>
            <w:r w:rsidRPr="00662645">
              <w:rPr>
                <w:i/>
                <w:color w:val="000000" w:themeColor="text1"/>
              </w:rPr>
              <w:t xml:space="preserve">  </w:t>
            </w:r>
          </w:p>
        </w:tc>
        <w:tc>
          <w:tcPr>
            <w:tcW w:w="640"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color w:val="000000" w:themeColor="text1"/>
              </w:rPr>
            </w:pPr>
            <w:r w:rsidRPr="00662645">
              <w:rPr>
                <w:color w:val="000000" w:themeColor="text1"/>
              </w:rPr>
              <w:t>2</w:t>
            </w:r>
          </w:p>
        </w:tc>
        <w:tc>
          <w:tcPr>
            <w:tcW w:w="709"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color w:val="000000" w:themeColor="text1"/>
              </w:rPr>
            </w:pPr>
            <w:r w:rsidRPr="00662645">
              <w:rPr>
                <w:color w:val="000000" w:themeColor="text1"/>
              </w:rPr>
              <w:t>1,9</w:t>
            </w:r>
          </w:p>
        </w:tc>
        <w:tc>
          <w:tcPr>
            <w:tcW w:w="638"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color w:val="000000" w:themeColor="text1"/>
              </w:rPr>
            </w:pPr>
            <w:r w:rsidRPr="00662645">
              <w:rPr>
                <w:color w:val="000000" w:themeColor="text1"/>
              </w:rPr>
              <w:t>17</w:t>
            </w:r>
          </w:p>
        </w:tc>
        <w:tc>
          <w:tcPr>
            <w:tcW w:w="780"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color w:val="000000" w:themeColor="text1"/>
              </w:rPr>
            </w:pPr>
            <w:r w:rsidRPr="00662645">
              <w:rPr>
                <w:color w:val="000000" w:themeColor="text1"/>
              </w:rPr>
              <w:t>15,7</w:t>
            </w:r>
          </w:p>
        </w:tc>
        <w:tc>
          <w:tcPr>
            <w:tcW w:w="635"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color w:val="000000" w:themeColor="text1"/>
              </w:rPr>
            </w:pPr>
            <w:r w:rsidRPr="00662645">
              <w:rPr>
                <w:color w:val="000000" w:themeColor="text1"/>
              </w:rPr>
              <w:t>89</w:t>
            </w:r>
          </w:p>
        </w:tc>
        <w:tc>
          <w:tcPr>
            <w:tcW w:w="704"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color w:val="000000" w:themeColor="text1"/>
              </w:rPr>
            </w:pPr>
            <w:r w:rsidRPr="00662645">
              <w:rPr>
                <w:color w:val="000000" w:themeColor="text1"/>
              </w:rPr>
              <w:t>82,4</w:t>
            </w:r>
          </w:p>
        </w:tc>
        <w:tc>
          <w:tcPr>
            <w:tcW w:w="782" w:type="dxa"/>
            <w:tcBorders>
              <w:top w:val="single" w:sz="4" w:space="0" w:color="auto"/>
              <w:left w:val="nil"/>
              <w:bottom w:val="single" w:sz="4" w:space="0" w:color="auto"/>
              <w:right w:val="nil"/>
            </w:tcBorders>
            <w:vAlign w:val="center"/>
          </w:tcPr>
          <w:p w:rsidR="00346A74" w:rsidRPr="00662645" w:rsidRDefault="00346A74" w:rsidP="004956F9">
            <w:pPr>
              <w:tabs>
                <w:tab w:val="left" w:pos="1560"/>
              </w:tabs>
              <w:jc w:val="center"/>
              <w:rPr>
                <w:bCs/>
                <w:color w:val="000000" w:themeColor="text1"/>
              </w:rPr>
            </w:pPr>
            <w:r w:rsidRPr="00662645">
              <w:rPr>
                <w:bCs/>
                <w:color w:val="000000" w:themeColor="text1"/>
              </w:rPr>
              <w:t>108</w:t>
            </w:r>
          </w:p>
        </w:tc>
        <w:tc>
          <w:tcPr>
            <w:tcW w:w="709" w:type="dxa"/>
            <w:tcBorders>
              <w:top w:val="single" w:sz="4" w:space="0" w:color="auto"/>
              <w:left w:val="nil"/>
              <w:bottom w:val="single" w:sz="4" w:space="0" w:color="auto"/>
            </w:tcBorders>
          </w:tcPr>
          <w:p w:rsidR="00346A74" w:rsidRPr="00662645" w:rsidRDefault="00346A74" w:rsidP="004956F9">
            <w:pPr>
              <w:tabs>
                <w:tab w:val="left" w:pos="1560"/>
              </w:tabs>
              <w:jc w:val="center"/>
              <w:rPr>
                <w:bCs/>
                <w:color w:val="000000" w:themeColor="text1"/>
              </w:rPr>
            </w:pPr>
            <w:r w:rsidRPr="00662645">
              <w:rPr>
                <w:bCs/>
                <w:color w:val="000000" w:themeColor="text1"/>
              </w:rPr>
              <w:t>100</w:t>
            </w:r>
          </w:p>
        </w:tc>
      </w:tr>
    </w:tbl>
    <w:p w:rsidR="00346A74" w:rsidRDefault="00346A74" w:rsidP="00346A74">
      <w:pPr>
        <w:pStyle w:val="ListParagraph"/>
        <w:tabs>
          <w:tab w:val="left" w:pos="993"/>
        </w:tabs>
        <w:spacing w:after="0" w:line="240" w:lineRule="auto"/>
        <w:ind w:left="709" w:firstLine="567"/>
        <w:jc w:val="both"/>
        <w:rPr>
          <w:rFonts w:ascii="Times New Roman" w:hAnsi="Times New Roman"/>
          <w:color w:val="000000" w:themeColor="text1"/>
          <w:sz w:val="20"/>
          <w:szCs w:val="20"/>
        </w:rPr>
      </w:pPr>
    </w:p>
    <w:p w:rsidR="00346A74" w:rsidRDefault="00346A74" w:rsidP="006C6261">
      <w:pPr>
        <w:pStyle w:val="ListParagraph"/>
        <w:numPr>
          <w:ilvl w:val="0"/>
          <w:numId w:val="8"/>
        </w:numPr>
        <w:spacing w:after="0" w:line="240" w:lineRule="auto"/>
        <w:ind w:left="709" w:hanging="283"/>
        <w:jc w:val="both"/>
        <w:rPr>
          <w:rFonts w:ascii="Times New Roman" w:hAnsi="Times New Roman"/>
          <w:color w:val="000000" w:themeColor="text1"/>
          <w:sz w:val="20"/>
          <w:szCs w:val="20"/>
        </w:rPr>
      </w:pPr>
      <w:r w:rsidRPr="00662645">
        <w:rPr>
          <w:rFonts w:ascii="Times New Roman" w:hAnsi="Times New Roman"/>
          <w:color w:val="000000" w:themeColor="text1"/>
          <w:sz w:val="20"/>
          <w:szCs w:val="20"/>
        </w:rPr>
        <w:t>Description of attitudes about risky pregnancy</w:t>
      </w:r>
    </w:p>
    <w:p w:rsidR="00346A74" w:rsidRDefault="00346A74" w:rsidP="00346A74">
      <w:pPr>
        <w:pStyle w:val="ListParagraph"/>
        <w:spacing w:after="0" w:line="240" w:lineRule="auto"/>
        <w:ind w:left="709" w:firstLine="567"/>
        <w:jc w:val="both"/>
        <w:rPr>
          <w:rFonts w:ascii="Times New Roman" w:hAnsi="Times New Roman"/>
          <w:color w:val="000000" w:themeColor="text1"/>
          <w:sz w:val="20"/>
          <w:szCs w:val="20"/>
        </w:rPr>
      </w:pPr>
      <w:r w:rsidRPr="00F21586">
        <w:rPr>
          <w:rFonts w:ascii="Times New Roman" w:hAnsi="Times New Roman"/>
          <w:color w:val="000000" w:themeColor="text1"/>
          <w:sz w:val="20"/>
          <w:szCs w:val="20"/>
        </w:rPr>
        <w:t xml:space="preserve">The description of the research data shows that the respondents' answers were categorized as positive and negative attitudes. Attitudes about risky pregnancies prior to </w:t>
      </w:r>
      <w:proofErr w:type="spellStart"/>
      <w:r w:rsidRPr="00F21586">
        <w:rPr>
          <w:rFonts w:ascii="Times New Roman" w:hAnsi="Times New Roman"/>
          <w:color w:val="000000" w:themeColor="text1"/>
          <w:sz w:val="20"/>
          <w:szCs w:val="20"/>
        </w:rPr>
        <w:t>counseling</w:t>
      </w:r>
      <w:proofErr w:type="spellEnd"/>
      <w:r w:rsidRPr="00F21586">
        <w:rPr>
          <w:rFonts w:ascii="Times New Roman" w:hAnsi="Times New Roman"/>
          <w:color w:val="000000" w:themeColor="text1"/>
          <w:sz w:val="20"/>
          <w:szCs w:val="20"/>
        </w:rPr>
        <w:t xml:space="preserve"> were 63 respondents (58.3%) in the positive category and 45 respondents (41.7%) in the negative category. Attitudes about risky pregnancy after </w:t>
      </w:r>
      <w:proofErr w:type="spellStart"/>
      <w:r w:rsidRPr="00F21586">
        <w:rPr>
          <w:rFonts w:ascii="Times New Roman" w:hAnsi="Times New Roman"/>
          <w:color w:val="000000" w:themeColor="text1"/>
          <w:sz w:val="20"/>
          <w:szCs w:val="20"/>
        </w:rPr>
        <w:t>counseling</w:t>
      </w:r>
      <w:proofErr w:type="spellEnd"/>
      <w:r w:rsidRPr="00F21586">
        <w:rPr>
          <w:rFonts w:ascii="Times New Roman" w:hAnsi="Times New Roman"/>
          <w:color w:val="000000" w:themeColor="text1"/>
          <w:sz w:val="20"/>
          <w:szCs w:val="20"/>
        </w:rPr>
        <w:t xml:space="preserve"> were mostly in the positive category amounting to 69 people (63.9%) and the negative category amounting to 39 people (36.1%)</w:t>
      </w:r>
    </w:p>
    <w:p w:rsidR="00346A74" w:rsidRDefault="00346A74" w:rsidP="00346A74">
      <w:pPr>
        <w:pStyle w:val="ListParagraph"/>
        <w:spacing w:after="0" w:line="240" w:lineRule="auto"/>
        <w:ind w:left="709" w:firstLine="567"/>
        <w:jc w:val="both"/>
        <w:rPr>
          <w:rFonts w:ascii="Times New Roman" w:hAnsi="Times New Roman"/>
          <w:color w:val="000000" w:themeColor="text1"/>
          <w:sz w:val="20"/>
          <w:szCs w:val="20"/>
        </w:rPr>
      </w:pPr>
    </w:p>
    <w:p w:rsidR="00346A74" w:rsidRPr="00F21586" w:rsidRDefault="00346A74" w:rsidP="00346A74">
      <w:pPr>
        <w:pStyle w:val="ListParagraph"/>
        <w:spacing w:after="0" w:line="240" w:lineRule="auto"/>
        <w:ind w:left="709"/>
        <w:jc w:val="both"/>
        <w:rPr>
          <w:rFonts w:ascii="Times New Roman" w:hAnsi="Times New Roman"/>
          <w:color w:val="000000" w:themeColor="text1"/>
          <w:sz w:val="20"/>
          <w:szCs w:val="20"/>
        </w:rPr>
      </w:pPr>
      <w:r w:rsidRPr="00F21586">
        <w:rPr>
          <w:rFonts w:ascii="Times New Roman" w:hAnsi="Times New Roman"/>
          <w:bCs/>
          <w:color w:val="000000" w:themeColor="text1"/>
          <w:sz w:val="20"/>
          <w:szCs w:val="20"/>
          <w:lang w:val="it-IT"/>
        </w:rPr>
        <w:t xml:space="preserve">Table </w:t>
      </w:r>
      <w:r w:rsidRPr="00F21586">
        <w:rPr>
          <w:rFonts w:ascii="Times New Roman" w:hAnsi="Times New Roman"/>
          <w:bCs/>
          <w:color w:val="000000" w:themeColor="text1"/>
          <w:sz w:val="20"/>
          <w:szCs w:val="20"/>
        </w:rPr>
        <w:t>3.</w:t>
      </w:r>
      <w:r w:rsidRPr="00F21586">
        <w:rPr>
          <w:rFonts w:ascii="Times New Roman" w:hAnsi="Times New Roman"/>
          <w:bCs/>
          <w:color w:val="000000" w:themeColor="text1"/>
          <w:sz w:val="20"/>
          <w:szCs w:val="20"/>
          <w:lang w:val="it-IT"/>
        </w:rPr>
        <w:t xml:space="preserve"> </w:t>
      </w:r>
      <w:r w:rsidRPr="00F21586">
        <w:rPr>
          <w:rFonts w:ascii="Times New Roman" w:hAnsi="Times New Roman"/>
          <w:color w:val="000000" w:themeColor="text1"/>
          <w:sz w:val="20"/>
          <w:szCs w:val="20"/>
        </w:rPr>
        <w:t xml:space="preserve">Distribution of Frequency of Attitudes about Risk Pregnancy at SMK </w:t>
      </w:r>
      <w:proofErr w:type="spellStart"/>
      <w:r w:rsidRPr="00F21586">
        <w:rPr>
          <w:rFonts w:ascii="Times New Roman" w:hAnsi="Times New Roman"/>
          <w:color w:val="000000" w:themeColor="text1"/>
          <w:sz w:val="20"/>
          <w:szCs w:val="20"/>
        </w:rPr>
        <w:t>Muhammadiyah</w:t>
      </w:r>
      <w:proofErr w:type="spellEnd"/>
      <w:r w:rsidRPr="00F21586">
        <w:rPr>
          <w:rFonts w:ascii="Times New Roman" w:hAnsi="Times New Roman"/>
          <w:color w:val="000000" w:themeColor="text1"/>
          <w:sz w:val="20"/>
          <w:szCs w:val="20"/>
        </w:rPr>
        <w:t xml:space="preserve"> 1 </w:t>
      </w:r>
      <w:proofErr w:type="spellStart"/>
      <w:r w:rsidRPr="00F21586">
        <w:rPr>
          <w:rFonts w:ascii="Times New Roman" w:hAnsi="Times New Roman"/>
          <w:color w:val="000000" w:themeColor="text1"/>
          <w:sz w:val="20"/>
          <w:szCs w:val="20"/>
        </w:rPr>
        <w:t>Wonosobo</w:t>
      </w:r>
      <w:proofErr w:type="spellEnd"/>
      <w:r w:rsidRPr="00F21586">
        <w:rPr>
          <w:rFonts w:ascii="Times New Roman" w:hAnsi="Times New Roman"/>
          <w:bCs/>
          <w:color w:val="000000" w:themeColor="text1"/>
          <w:sz w:val="20"/>
          <w:szCs w:val="20"/>
          <w:lang w:val="id-ID"/>
        </w:rPr>
        <w:t>.</w:t>
      </w:r>
    </w:p>
    <w:tbl>
      <w:tblPr>
        <w:tblW w:w="6946" w:type="dxa"/>
        <w:jc w:val="center"/>
        <w:tblBorders>
          <w:top w:val="single" w:sz="4" w:space="0" w:color="auto"/>
          <w:bottom w:val="single" w:sz="4" w:space="0" w:color="auto"/>
        </w:tblBorders>
        <w:tblLayout w:type="fixed"/>
        <w:tblLook w:val="00A0" w:firstRow="1" w:lastRow="0" w:firstColumn="1" w:lastColumn="0" w:noHBand="0" w:noVBand="0"/>
      </w:tblPr>
      <w:tblGrid>
        <w:gridCol w:w="1701"/>
        <w:gridCol w:w="851"/>
        <w:gridCol w:w="850"/>
        <w:gridCol w:w="851"/>
        <w:gridCol w:w="992"/>
        <w:gridCol w:w="850"/>
        <w:gridCol w:w="851"/>
      </w:tblGrid>
      <w:tr w:rsidR="00346A74" w:rsidRPr="00F21586" w:rsidTr="004956F9">
        <w:trPr>
          <w:cantSplit/>
          <w:trHeight w:val="285"/>
          <w:jc w:val="center"/>
        </w:trPr>
        <w:tc>
          <w:tcPr>
            <w:tcW w:w="1701" w:type="dxa"/>
            <w:vMerge w:val="restart"/>
            <w:tcBorders>
              <w:top w:val="single" w:sz="4" w:space="0" w:color="auto"/>
              <w:right w:val="nil"/>
            </w:tcBorders>
            <w:vAlign w:val="center"/>
          </w:tcPr>
          <w:p w:rsidR="00346A74" w:rsidRPr="00F21586" w:rsidRDefault="00346A74" w:rsidP="004956F9">
            <w:pPr>
              <w:tabs>
                <w:tab w:val="left" w:pos="1560"/>
              </w:tabs>
              <w:jc w:val="center"/>
              <w:rPr>
                <w:bCs/>
                <w:color w:val="000000" w:themeColor="text1"/>
                <w:lang w:val="id-ID"/>
              </w:rPr>
            </w:pPr>
            <w:r w:rsidRPr="00F21586">
              <w:rPr>
                <w:bCs/>
                <w:color w:val="000000" w:themeColor="text1"/>
                <w:lang w:val="id-ID"/>
              </w:rPr>
              <w:t>Attitude</w:t>
            </w:r>
          </w:p>
        </w:tc>
        <w:tc>
          <w:tcPr>
            <w:tcW w:w="3544" w:type="dxa"/>
            <w:gridSpan w:val="4"/>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lang w:val="id-ID"/>
              </w:rPr>
            </w:pPr>
            <w:r w:rsidRPr="00F21586">
              <w:rPr>
                <w:bCs/>
                <w:color w:val="000000" w:themeColor="text1"/>
                <w:lang w:val="id-ID"/>
              </w:rPr>
              <w:t>Category</w:t>
            </w:r>
          </w:p>
        </w:tc>
        <w:tc>
          <w:tcPr>
            <w:tcW w:w="1701" w:type="dxa"/>
            <w:gridSpan w:val="2"/>
            <w:vMerge w:val="restart"/>
            <w:tcBorders>
              <w:top w:val="single" w:sz="4" w:space="0" w:color="auto"/>
              <w:lef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Total</w:t>
            </w:r>
          </w:p>
          <w:p w:rsidR="00346A74" w:rsidRPr="00F21586" w:rsidRDefault="00346A74" w:rsidP="004956F9">
            <w:pPr>
              <w:tabs>
                <w:tab w:val="left" w:pos="1560"/>
              </w:tabs>
              <w:jc w:val="center"/>
              <w:rPr>
                <w:bCs/>
                <w:color w:val="000000" w:themeColor="text1"/>
              </w:rPr>
            </w:pPr>
          </w:p>
        </w:tc>
      </w:tr>
      <w:tr w:rsidR="00346A74" w:rsidRPr="00F21586" w:rsidTr="004956F9">
        <w:trPr>
          <w:cantSplit/>
          <w:trHeight w:val="285"/>
          <w:jc w:val="center"/>
        </w:trPr>
        <w:tc>
          <w:tcPr>
            <w:tcW w:w="1701" w:type="dxa"/>
            <w:vMerge/>
            <w:tcBorders>
              <w:bottom w:val="single" w:sz="4" w:space="0" w:color="auto"/>
              <w:right w:val="nil"/>
            </w:tcBorders>
            <w:vAlign w:val="center"/>
          </w:tcPr>
          <w:p w:rsidR="00346A74" w:rsidRPr="00F21586" w:rsidRDefault="00346A74" w:rsidP="004956F9">
            <w:pPr>
              <w:tabs>
                <w:tab w:val="left" w:pos="1560"/>
              </w:tabs>
              <w:jc w:val="center"/>
              <w:rPr>
                <w:bCs/>
                <w:color w:val="000000" w:themeColor="text1"/>
                <w:lang w:val="sv-SE"/>
              </w:rPr>
            </w:pPr>
          </w:p>
        </w:tc>
        <w:tc>
          <w:tcPr>
            <w:tcW w:w="1701" w:type="dxa"/>
            <w:gridSpan w:val="2"/>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Positive</w:t>
            </w:r>
          </w:p>
        </w:tc>
        <w:tc>
          <w:tcPr>
            <w:tcW w:w="1843" w:type="dxa"/>
            <w:gridSpan w:val="2"/>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 xml:space="preserve">Negative </w:t>
            </w:r>
          </w:p>
        </w:tc>
        <w:tc>
          <w:tcPr>
            <w:tcW w:w="1701" w:type="dxa"/>
            <w:gridSpan w:val="2"/>
            <w:vMerge/>
            <w:tcBorders>
              <w:left w:val="nil"/>
              <w:bottom w:val="single" w:sz="4" w:space="0" w:color="auto"/>
            </w:tcBorders>
            <w:vAlign w:val="center"/>
          </w:tcPr>
          <w:p w:rsidR="00346A74" w:rsidRPr="00F21586" w:rsidRDefault="00346A74" w:rsidP="004956F9">
            <w:pPr>
              <w:tabs>
                <w:tab w:val="left" w:pos="1560"/>
              </w:tabs>
              <w:jc w:val="center"/>
              <w:rPr>
                <w:bCs/>
                <w:color w:val="000000" w:themeColor="text1"/>
              </w:rPr>
            </w:pPr>
          </w:p>
        </w:tc>
      </w:tr>
      <w:tr w:rsidR="00346A74" w:rsidRPr="00F21586" w:rsidTr="004956F9">
        <w:trPr>
          <w:cantSplit/>
          <w:trHeight w:val="285"/>
          <w:jc w:val="center"/>
        </w:trPr>
        <w:tc>
          <w:tcPr>
            <w:tcW w:w="1701" w:type="dxa"/>
            <w:tcBorders>
              <w:bottom w:val="single" w:sz="4" w:space="0" w:color="auto"/>
              <w:right w:val="nil"/>
            </w:tcBorders>
            <w:vAlign w:val="center"/>
          </w:tcPr>
          <w:p w:rsidR="00346A74" w:rsidRPr="00F21586" w:rsidRDefault="00346A74" w:rsidP="004956F9">
            <w:pPr>
              <w:tabs>
                <w:tab w:val="left" w:pos="1560"/>
              </w:tabs>
              <w:jc w:val="center"/>
              <w:rPr>
                <w:bCs/>
                <w:color w:val="000000" w:themeColor="text1"/>
                <w:lang w:val="sv-SE"/>
              </w:rPr>
            </w:pPr>
          </w:p>
        </w:tc>
        <w:tc>
          <w:tcPr>
            <w:tcW w:w="851"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f</w:t>
            </w:r>
          </w:p>
        </w:tc>
        <w:tc>
          <w:tcPr>
            <w:tcW w:w="850"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w:t>
            </w:r>
          </w:p>
        </w:tc>
        <w:tc>
          <w:tcPr>
            <w:tcW w:w="851"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f</w:t>
            </w:r>
          </w:p>
        </w:tc>
        <w:tc>
          <w:tcPr>
            <w:tcW w:w="992"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w:t>
            </w:r>
          </w:p>
        </w:tc>
        <w:tc>
          <w:tcPr>
            <w:tcW w:w="850" w:type="dxa"/>
            <w:tcBorders>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f</w:t>
            </w:r>
          </w:p>
        </w:tc>
        <w:tc>
          <w:tcPr>
            <w:tcW w:w="851" w:type="dxa"/>
            <w:tcBorders>
              <w:left w:val="nil"/>
              <w:bottom w:val="single" w:sz="4" w:space="0" w:color="auto"/>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w:t>
            </w:r>
          </w:p>
        </w:tc>
      </w:tr>
      <w:tr w:rsidR="00346A74" w:rsidRPr="00F21586" w:rsidTr="004956F9">
        <w:trPr>
          <w:cantSplit/>
          <w:trHeight w:val="285"/>
          <w:jc w:val="center"/>
        </w:trPr>
        <w:tc>
          <w:tcPr>
            <w:tcW w:w="1701" w:type="dxa"/>
            <w:tcBorders>
              <w:top w:val="single" w:sz="4" w:space="0" w:color="auto"/>
              <w:bottom w:val="single" w:sz="4" w:space="0" w:color="auto"/>
              <w:right w:val="nil"/>
            </w:tcBorders>
          </w:tcPr>
          <w:p w:rsidR="00346A74" w:rsidRPr="00F21586" w:rsidRDefault="00346A74" w:rsidP="004956F9">
            <w:pPr>
              <w:tabs>
                <w:tab w:val="left" w:pos="1560"/>
              </w:tabs>
              <w:rPr>
                <w:bCs/>
                <w:color w:val="000000" w:themeColor="text1"/>
              </w:rPr>
            </w:pPr>
            <w:r w:rsidRPr="00F21586">
              <w:rPr>
                <w:i/>
                <w:color w:val="000000" w:themeColor="text1"/>
              </w:rPr>
              <w:t>Pre</w:t>
            </w:r>
            <w:r w:rsidRPr="00F21586">
              <w:rPr>
                <w:i/>
                <w:color w:val="000000" w:themeColor="text1"/>
                <w:lang w:val="id-ID"/>
              </w:rPr>
              <w:t>-</w:t>
            </w:r>
            <w:r w:rsidRPr="00F21586">
              <w:rPr>
                <w:i/>
                <w:color w:val="000000" w:themeColor="text1"/>
              </w:rPr>
              <w:t>test</w:t>
            </w:r>
            <w:r w:rsidRPr="00F21586">
              <w:rPr>
                <w:color w:val="000000" w:themeColor="text1"/>
              </w:rPr>
              <w:t xml:space="preserve"> </w:t>
            </w:r>
          </w:p>
        </w:tc>
        <w:tc>
          <w:tcPr>
            <w:tcW w:w="851"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63</w:t>
            </w:r>
          </w:p>
        </w:tc>
        <w:tc>
          <w:tcPr>
            <w:tcW w:w="850"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58,3</w:t>
            </w:r>
          </w:p>
        </w:tc>
        <w:tc>
          <w:tcPr>
            <w:tcW w:w="851"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45</w:t>
            </w:r>
          </w:p>
        </w:tc>
        <w:tc>
          <w:tcPr>
            <w:tcW w:w="992"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41,7</w:t>
            </w:r>
          </w:p>
        </w:tc>
        <w:tc>
          <w:tcPr>
            <w:tcW w:w="850"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108</w:t>
            </w:r>
          </w:p>
        </w:tc>
        <w:tc>
          <w:tcPr>
            <w:tcW w:w="851" w:type="dxa"/>
            <w:tcBorders>
              <w:top w:val="single" w:sz="4" w:space="0" w:color="auto"/>
              <w:left w:val="nil"/>
              <w:bottom w:val="single" w:sz="4" w:space="0" w:color="auto"/>
            </w:tcBorders>
          </w:tcPr>
          <w:p w:rsidR="00346A74" w:rsidRPr="00F21586" w:rsidRDefault="00346A74" w:rsidP="004956F9">
            <w:pPr>
              <w:tabs>
                <w:tab w:val="left" w:pos="1560"/>
              </w:tabs>
              <w:jc w:val="center"/>
              <w:rPr>
                <w:bCs/>
                <w:color w:val="000000" w:themeColor="text1"/>
              </w:rPr>
            </w:pPr>
            <w:r w:rsidRPr="00F21586">
              <w:rPr>
                <w:bCs/>
                <w:color w:val="000000" w:themeColor="text1"/>
              </w:rPr>
              <w:t>100</w:t>
            </w:r>
          </w:p>
        </w:tc>
      </w:tr>
      <w:tr w:rsidR="00346A74" w:rsidRPr="00F21586" w:rsidTr="004956F9">
        <w:trPr>
          <w:cantSplit/>
          <w:trHeight w:val="48"/>
          <w:jc w:val="center"/>
        </w:trPr>
        <w:tc>
          <w:tcPr>
            <w:tcW w:w="1701" w:type="dxa"/>
            <w:tcBorders>
              <w:top w:val="single" w:sz="4" w:space="0" w:color="auto"/>
              <w:bottom w:val="single" w:sz="4" w:space="0" w:color="auto"/>
              <w:right w:val="nil"/>
            </w:tcBorders>
          </w:tcPr>
          <w:p w:rsidR="00346A74" w:rsidRPr="00F21586" w:rsidRDefault="00346A74" w:rsidP="004956F9">
            <w:pPr>
              <w:tabs>
                <w:tab w:val="left" w:pos="1560"/>
              </w:tabs>
              <w:rPr>
                <w:bCs/>
                <w:i/>
                <w:color w:val="000000" w:themeColor="text1"/>
              </w:rPr>
            </w:pPr>
            <w:r w:rsidRPr="00F21586">
              <w:rPr>
                <w:i/>
                <w:color w:val="000000" w:themeColor="text1"/>
              </w:rPr>
              <w:t>Post</w:t>
            </w:r>
            <w:r w:rsidRPr="00F21586">
              <w:rPr>
                <w:i/>
                <w:color w:val="000000" w:themeColor="text1"/>
                <w:lang w:val="id-ID"/>
              </w:rPr>
              <w:t>-</w:t>
            </w:r>
            <w:r w:rsidRPr="00F21586">
              <w:rPr>
                <w:i/>
                <w:color w:val="000000" w:themeColor="text1"/>
              </w:rPr>
              <w:t xml:space="preserve">test  </w:t>
            </w:r>
          </w:p>
        </w:tc>
        <w:tc>
          <w:tcPr>
            <w:tcW w:w="851"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color w:val="000000" w:themeColor="text1"/>
              </w:rPr>
            </w:pPr>
            <w:r w:rsidRPr="00F21586">
              <w:rPr>
                <w:color w:val="000000" w:themeColor="text1"/>
              </w:rPr>
              <w:t>69</w:t>
            </w:r>
          </w:p>
        </w:tc>
        <w:tc>
          <w:tcPr>
            <w:tcW w:w="850"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color w:val="000000" w:themeColor="text1"/>
              </w:rPr>
            </w:pPr>
            <w:r w:rsidRPr="00F21586">
              <w:rPr>
                <w:color w:val="000000" w:themeColor="text1"/>
              </w:rPr>
              <w:t>63,9</w:t>
            </w:r>
          </w:p>
        </w:tc>
        <w:tc>
          <w:tcPr>
            <w:tcW w:w="851"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color w:val="000000" w:themeColor="text1"/>
              </w:rPr>
            </w:pPr>
            <w:r w:rsidRPr="00F21586">
              <w:rPr>
                <w:color w:val="000000" w:themeColor="text1"/>
              </w:rPr>
              <w:t>39</w:t>
            </w:r>
          </w:p>
        </w:tc>
        <w:tc>
          <w:tcPr>
            <w:tcW w:w="992"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color w:val="000000" w:themeColor="text1"/>
              </w:rPr>
            </w:pPr>
            <w:r w:rsidRPr="00F21586">
              <w:rPr>
                <w:color w:val="000000" w:themeColor="text1"/>
              </w:rPr>
              <w:t>36,1</w:t>
            </w:r>
          </w:p>
        </w:tc>
        <w:tc>
          <w:tcPr>
            <w:tcW w:w="850" w:type="dxa"/>
            <w:tcBorders>
              <w:top w:val="single" w:sz="4" w:space="0" w:color="auto"/>
              <w:left w:val="nil"/>
              <w:bottom w:val="single" w:sz="4" w:space="0" w:color="auto"/>
              <w:right w:val="nil"/>
            </w:tcBorders>
            <w:vAlign w:val="center"/>
          </w:tcPr>
          <w:p w:rsidR="00346A74" w:rsidRPr="00F21586" w:rsidRDefault="00346A74" w:rsidP="004956F9">
            <w:pPr>
              <w:tabs>
                <w:tab w:val="left" w:pos="1560"/>
              </w:tabs>
              <w:jc w:val="center"/>
              <w:rPr>
                <w:bCs/>
                <w:color w:val="000000" w:themeColor="text1"/>
              </w:rPr>
            </w:pPr>
            <w:r w:rsidRPr="00F21586">
              <w:rPr>
                <w:bCs/>
                <w:color w:val="000000" w:themeColor="text1"/>
              </w:rPr>
              <w:t>108</w:t>
            </w:r>
          </w:p>
        </w:tc>
        <w:tc>
          <w:tcPr>
            <w:tcW w:w="851" w:type="dxa"/>
            <w:tcBorders>
              <w:top w:val="single" w:sz="4" w:space="0" w:color="auto"/>
              <w:left w:val="nil"/>
              <w:bottom w:val="single" w:sz="4" w:space="0" w:color="auto"/>
            </w:tcBorders>
          </w:tcPr>
          <w:p w:rsidR="00346A74" w:rsidRPr="00F21586" w:rsidRDefault="00346A74" w:rsidP="004956F9">
            <w:pPr>
              <w:tabs>
                <w:tab w:val="left" w:pos="1560"/>
              </w:tabs>
              <w:jc w:val="center"/>
              <w:rPr>
                <w:bCs/>
                <w:color w:val="000000" w:themeColor="text1"/>
              </w:rPr>
            </w:pPr>
            <w:r w:rsidRPr="00F21586">
              <w:rPr>
                <w:bCs/>
                <w:color w:val="000000" w:themeColor="text1"/>
              </w:rPr>
              <w:t>100</w:t>
            </w:r>
          </w:p>
        </w:tc>
      </w:tr>
    </w:tbl>
    <w:p w:rsidR="00346A74" w:rsidRPr="00F606F8" w:rsidRDefault="00346A74" w:rsidP="00F606F8">
      <w:pPr>
        <w:ind w:firstLine="720"/>
        <w:jc w:val="both"/>
        <w:rPr>
          <w:lang w:val="id-ID"/>
        </w:rPr>
      </w:pPr>
    </w:p>
    <w:p w:rsidR="00346A74" w:rsidRPr="00F21586" w:rsidRDefault="00346A74" w:rsidP="006C6261">
      <w:pPr>
        <w:pStyle w:val="ListParagraph"/>
        <w:numPr>
          <w:ilvl w:val="0"/>
          <w:numId w:val="8"/>
        </w:numPr>
        <w:spacing w:line="240" w:lineRule="auto"/>
        <w:ind w:left="709" w:hanging="283"/>
        <w:jc w:val="both"/>
        <w:rPr>
          <w:rFonts w:ascii="Times New Roman" w:hAnsi="Times New Roman"/>
          <w:color w:val="000000" w:themeColor="text1"/>
          <w:sz w:val="20"/>
          <w:szCs w:val="20"/>
        </w:rPr>
      </w:pPr>
      <w:r w:rsidRPr="00F21586">
        <w:rPr>
          <w:rFonts w:ascii="Times New Roman" w:hAnsi="Times New Roman"/>
          <w:color w:val="000000" w:themeColor="text1"/>
          <w:sz w:val="20"/>
          <w:szCs w:val="20"/>
        </w:rPr>
        <w:t>Prerequisite Test</w:t>
      </w:r>
    </w:p>
    <w:p w:rsidR="00346A74" w:rsidRDefault="00346A74" w:rsidP="00346A74">
      <w:pPr>
        <w:pStyle w:val="ListParagraph"/>
        <w:tabs>
          <w:tab w:val="left" w:pos="993"/>
        </w:tabs>
        <w:spacing w:after="0" w:line="240" w:lineRule="auto"/>
        <w:ind w:left="709" w:firstLine="709"/>
        <w:jc w:val="both"/>
        <w:rPr>
          <w:rFonts w:ascii="Times New Roman" w:hAnsi="Times New Roman"/>
          <w:color w:val="000000" w:themeColor="text1"/>
          <w:sz w:val="20"/>
          <w:szCs w:val="20"/>
        </w:rPr>
      </w:pPr>
      <w:r w:rsidRPr="00F21586">
        <w:rPr>
          <w:rFonts w:ascii="Times New Roman" w:hAnsi="Times New Roman"/>
          <w:color w:val="000000" w:themeColor="text1"/>
          <w:sz w:val="20"/>
          <w:szCs w:val="20"/>
        </w:rPr>
        <w:tab/>
        <w:t xml:space="preserve">The results of the normality test were calculated using Kolmogorov Smirnov. The statistical rule for normality test is if p&gt; 0.05. The results of the normality test of the research variables are if knowledge and attitude can be seen that the </w:t>
      </w:r>
      <w:proofErr w:type="spellStart"/>
      <w:r w:rsidRPr="00F21586">
        <w:rPr>
          <w:rFonts w:ascii="Times New Roman" w:hAnsi="Times New Roman"/>
          <w:color w:val="000000" w:themeColor="text1"/>
          <w:sz w:val="20"/>
          <w:szCs w:val="20"/>
        </w:rPr>
        <w:t>pretest</w:t>
      </w:r>
      <w:proofErr w:type="spellEnd"/>
      <w:r w:rsidRPr="00F21586">
        <w:rPr>
          <w:rFonts w:ascii="Times New Roman" w:hAnsi="Times New Roman"/>
          <w:color w:val="000000" w:themeColor="text1"/>
          <w:sz w:val="20"/>
          <w:szCs w:val="20"/>
        </w:rPr>
        <w:t xml:space="preserve"> and </w:t>
      </w:r>
      <w:proofErr w:type="spellStart"/>
      <w:r w:rsidRPr="00F21586">
        <w:rPr>
          <w:rFonts w:ascii="Times New Roman" w:hAnsi="Times New Roman"/>
          <w:color w:val="000000" w:themeColor="text1"/>
          <w:sz w:val="20"/>
          <w:szCs w:val="20"/>
        </w:rPr>
        <w:t>posttest</w:t>
      </w:r>
      <w:proofErr w:type="spellEnd"/>
      <w:r w:rsidRPr="00F21586">
        <w:rPr>
          <w:rFonts w:ascii="Times New Roman" w:hAnsi="Times New Roman"/>
          <w:color w:val="000000" w:themeColor="text1"/>
          <w:sz w:val="20"/>
          <w:szCs w:val="20"/>
        </w:rPr>
        <w:t xml:space="preserve"> variables have a significance value of less than 0.05 (p &lt;0.05). The results of the </w:t>
      </w:r>
      <w:proofErr w:type="spellStart"/>
      <w:r w:rsidRPr="00F21586">
        <w:rPr>
          <w:rFonts w:ascii="Times New Roman" w:hAnsi="Times New Roman"/>
          <w:color w:val="000000" w:themeColor="text1"/>
          <w:sz w:val="20"/>
          <w:szCs w:val="20"/>
        </w:rPr>
        <w:t>pretest</w:t>
      </w:r>
      <w:proofErr w:type="spellEnd"/>
      <w:r w:rsidRPr="00F21586">
        <w:rPr>
          <w:rFonts w:ascii="Times New Roman" w:hAnsi="Times New Roman"/>
          <w:color w:val="000000" w:themeColor="text1"/>
          <w:sz w:val="20"/>
          <w:szCs w:val="20"/>
        </w:rPr>
        <w:t xml:space="preserve"> and </w:t>
      </w:r>
      <w:proofErr w:type="spellStart"/>
      <w:r w:rsidRPr="00F21586">
        <w:rPr>
          <w:rFonts w:ascii="Times New Roman" w:hAnsi="Times New Roman"/>
          <w:color w:val="000000" w:themeColor="text1"/>
          <w:sz w:val="20"/>
          <w:szCs w:val="20"/>
        </w:rPr>
        <w:t>posttest</w:t>
      </w:r>
      <w:proofErr w:type="spellEnd"/>
      <w:r w:rsidRPr="00F21586">
        <w:rPr>
          <w:rFonts w:ascii="Times New Roman" w:hAnsi="Times New Roman"/>
          <w:color w:val="000000" w:themeColor="text1"/>
          <w:sz w:val="20"/>
          <w:szCs w:val="20"/>
        </w:rPr>
        <w:t xml:space="preserve"> were distributed abnormally, so the hypothesis test analysis was performed using the Wilcoxon Signed Ranks Test.</w:t>
      </w:r>
    </w:p>
    <w:p w:rsidR="00346A74" w:rsidRPr="00F21586" w:rsidRDefault="00346A74" w:rsidP="00346A74">
      <w:pPr>
        <w:ind w:left="709"/>
        <w:rPr>
          <w:bCs/>
          <w:color w:val="000000" w:themeColor="text1"/>
          <w:lang w:val="id-ID"/>
        </w:rPr>
      </w:pPr>
      <w:r w:rsidRPr="00F21586">
        <w:rPr>
          <w:bCs/>
          <w:color w:val="000000" w:themeColor="text1"/>
          <w:lang w:val="it-IT"/>
        </w:rPr>
        <w:t xml:space="preserve">Tabel 4. </w:t>
      </w:r>
      <w:r w:rsidRPr="00F21586">
        <w:rPr>
          <w:bCs/>
          <w:color w:val="000000" w:themeColor="text1"/>
        </w:rPr>
        <w:t xml:space="preserve"> </w:t>
      </w:r>
      <w:r w:rsidRPr="00F21586">
        <w:rPr>
          <w:bCs/>
          <w:color w:val="000000" w:themeColor="text1"/>
          <w:lang w:val="id-ID"/>
        </w:rPr>
        <w:t>Normality Test Result</w:t>
      </w:r>
    </w:p>
    <w:tbl>
      <w:tblPr>
        <w:tblW w:w="0" w:type="auto"/>
        <w:jc w:val="center"/>
        <w:tblBorders>
          <w:top w:val="single" w:sz="4" w:space="0" w:color="auto"/>
          <w:bottom w:val="single" w:sz="4" w:space="0" w:color="auto"/>
        </w:tblBorders>
        <w:tblLook w:val="01E0" w:firstRow="1" w:lastRow="1" w:firstColumn="1" w:lastColumn="1" w:noHBand="0" w:noVBand="0"/>
      </w:tblPr>
      <w:tblGrid>
        <w:gridCol w:w="3260"/>
        <w:gridCol w:w="1843"/>
        <w:gridCol w:w="1784"/>
      </w:tblGrid>
      <w:tr w:rsidR="00346A74" w:rsidRPr="00F21586" w:rsidTr="004956F9">
        <w:trPr>
          <w:jc w:val="center"/>
        </w:trPr>
        <w:tc>
          <w:tcPr>
            <w:tcW w:w="3260" w:type="dxa"/>
            <w:tcBorders>
              <w:top w:val="single" w:sz="4" w:space="0" w:color="auto"/>
              <w:bottom w:val="single" w:sz="4" w:space="0" w:color="auto"/>
            </w:tcBorders>
          </w:tcPr>
          <w:p w:rsidR="00346A74" w:rsidRPr="00F21586" w:rsidRDefault="00346A74" w:rsidP="004956F9">
            <w:pPr>
              <w:pStyle w:val="BodyText"/>
              <w:spacing w:after="0"/>
              <w:jc w:val="center"/>
              <w:rPr>
                <w:color w:val="000000" w:themeColor="text1"/>
              </w:rPr>
            </w:pPr>
            <w:r w:rsidRPr="00F21586">
              <w:rPr>
                <w:color w:val="000000" w:themeColor="text1"/>
              </w:rPr>
              <w:t>Variable</w:t>
            </w:r>
          </w:p>
        </w:tc>
        <w:tc>
          <w:tcPr>
            <w:tcW w:w="1843" w:type="dxa"/>
            <w:tcBorders>
              <w:top w:val="single" w:sz="4" w:space="0" w:color="auto"/>
              <w:bottom w:val="single" w:sz="4" w:space="0" w:color="auto"/>
            </w:tcBorders>
          </w:tcPr>
          <w:p w:rsidR="00346A74" w:rsidRPr="00F21586" w:rsidRDefault="00346A74" w:rsidP="004956F9">
            <w:pPr>
              <w:pStyle w:val="BodyText"/>
              <w:spacing w:after="0"/>
              <w:jc w:val="center"/>
              <w:rPr>
                <w:color w:val="000000" w:themeColor="text1"/>
              </w:rPr>
            </w:pPr>
            <w:r w:rsidRPr="00F21586">
              <w:rPr>
                <w:i/>
                <w:color w:val="000000" w:themeColor="text1"/>
              </w:rPr>
              <w:t>Statistic</w:t>
            </w:r>
          </w:p>
        </w:tc>
        <w:tc>
          <w:tcPr>
            <w:tcW w:w="1784" w:type="dxa"/>
            <w:tcBorders>
              <w:top w:val="single" w:sz="4" w:space="0" w:color="auto"/>
              <w:bottom w:val="single" w:sz="4" w:space="0" w:color="auto"/>
            </w:tcBorders>
          </w:tcPr>
          <w:p w:rsidR="00346A74" w:rsidRPr="00F21586" w:rsidRDefault="00346A74" w:rsidP="004956F9">
            <w:pPr>
              <w:pStyle w:val="BodyText"/>
              <w:spacing w:after="0"/>
              <w:jc w:val="center"/>
              <w:rPr>
                <w:i/>
                <w:color w:val="000000" w:themeColor="text1"/>
              </w:rPr>
            </w:pPr>
            <w:r w:rsidRPr="00F21586">
              <w:rPr>
                <w:i/>
                <w:color w:val="000000" w:themeColor="text1"/>
              </w:rPr>
              <w:t>p</w:t>
            </w:r>
          </w:p>
        </w:tc>
      </w:tr>
      <w:tr w:rsidR="00346A74" w:rsidRPr="00F21586" w:rsidTr="004956F9">
        <w:trPr>
          <w:jc w:val="center"/>
        </w:trPr>
        <w:tc>
          <w:tcPr>
            <w:tcW w:w="3260" w:type="dxa"/>
            <w:tcBorders>
              <w:top w:val="single" w:sz="4" w:space="0" w:color="auto"/>
              <w:bottom w:val="single" w:sz="4" w:space="0" w:color="auto"/>
            </w:tcBorders>
          </w:tcPr>
          <w:p w:rsidR="00346A74" w:rsidRPr="00F21586" w:rsidRDefault="00346A74" w:rsidP="004956F9">
            <w:pPr>
              <w:pStyle w:val="BodyText"/>
              <w:spacing w:after="0"/>
              <w:rPr>
                <w:color w:val="000000" w:themeColor="text1"/>
              </w:rPr>
            </w:pPr>
            <w:r w:rsidRPr="00F21586">
              <w:rPr>
                <w:color w:val="000000" w:themeColor="text1"/>
              </w:rPr>
              <w:t>Knowledge</w:t>
            </w:r>
          </w:p>
          <w:p w:rsidR="00346A74" w:rsidRPr="00F21586" w:rsidRDefault="00346A74" w:rsidP="006C6261">
            <w:pPr>
              <w:pStyle w:val="BodyText"/>
              <w:numPr>
                <w:ilvl w:val="0"/>
                <w:numId w:val="16"/>
              </w:numPr>
              <w:spacing w:after="0"/>
              <w:rPr>
                <w:color w:val="000000" w:themeColor="text1"/>
              </w:rPr>
            </w:pPr>
            <w:r w:rsidRPr="00F21586">
              <w:rPr>
                <w:i/>
                <w:color w:val="000000" w:themeColor="text1"/>
              </w:rPr>
              <w:t>Pre-test</w:t>
            </w:r>
            <w:r w:rsidRPr="00F21586">
              <w:rPr>
                <w:color w:val="000000" w:themeColor="text1"/>
              </w:rPr>
              <w:t xml:space="preserve"> </w:t>
            </w:r>
          </w:p>
          <w:p w:rsidR="00346A74" w:rsidRPr="00F21586" w:rsidRDefault="00346A74" w:rsidP="006C6261">
            <w:pPr>
              <w:pStyle w:val="BodyText"/>
              <w:numPr>
                <w:ilvl w:val="0"/>
                <w:numId w:val="16"/>
              </w:numPr>
              <w:spacing w:after="0"/>
              <w:rPr>
                <w:i/>
                <w:color w:val="000000" w:themeColor="text1"/>
              </w:rPr>
            </w:pPr>
            <w:r w:rsidRPr="00F21586">
              <w:rPr>
                <w:i/>
                <w:color w:val="000000" w:themeColor="text1"/>
              </w:rPr>
              <w:t xml:space="preserve">Post-test </w:t>
            </w:r>
          </w:p>
        </w:tc>
        <w:tc>
          <w:tcPr>
            <w:tcW w:w="1843" w:type="dxa"/>
            <w:tcBorders>
              <w:top w:val="single" w:sz="4" w:space="0" w:color="auto"/>
              <w:bottom w:val="single" w:sz="4" w:space="0" w:color="auto"/>
            </w:tcBorders>
          </w:tcPr>
          <w:p w:rsidR="00346A74" w:rsidRPr="00F21586" w:rsidRDefault="00346A74" w:rsidP="004956F9">
            <w:pPr>
              <w:pStyle w:val="BodyText"/>
              <w:spacing w:after="0"/>
              <w:jc w:val="center"/>
              <w:rPr>
                <w:color w:val="000000" w:themeColor="text1"/>
              </w:rPr>
            </w:pPr>
          </w:p>
          <w:p w:rsidR="00346A74" w:rsidRPr="00F21586" w:rsidRDefault="00346A74" w:rsidP="004956F9">
            <w:pPr>
              <w:pStyle w:val="BodyText"/>
              <w:spacing w:after="0"/>
              <w:jc w:val="center"/>
              <w:rPr>
                <w:color w:val="000000" w:themeColor="text1"/>
              </w:rPr>
            </w:pPr>
            <w:r w:rsidRPr="00F21586">
              <w:rPr>
                <w:color w:val="000000" w:themeColor="text1"/>
              </w:rPr>
              <w:t>2,665</w:t>
            </w:r>
          </w:p>
          <w:p w:rsidR="00346A74" w:rsidRPr="00F21586" w:rsidRDefault="00346A74" w:rsidP="004956F9">
            <w:pPr>
              <w:pStyle w:val="BodyText"/>
              <w:spacing w:after="0"/>
              <w:jc w:val="center"/>
              <w:rPr>
                <w:color w:val="000000" w:themeColor="text1"/>
              </w:rPr>
            </w:pPr>
            <w:r w:rsidRPr="00F21586">
              <w:rPr>
                <w:color w:val="000000" w:themeColor="text1"/>
              </w:rPr>
              <w:t>2,878</w:t>
            </w:r>
          </w:p>
        </w:tc>
        <w:tc>
          <w:tcPr>
            <w:tcW w:w="1784" w:type="dxa"/>
            <w:tcBorders>
              <w:top w:val="single" w:sz="4" w:space="0" w:color="auto"/>
              <w:bottom w:val="single" w:sz="4" w:space="0" w:color="auto"/>
            </w:tcBorders>
          </w:tcPr>
          <w:p w:rsidR="00346A74" w:rsidRPr="00F21586" w:rsidRDefault="00346A74" w:rsidP="004956F9">
            <w:pPr>
              <w:pStyle w:val="BodyText"/>
              <w:spacing w:after="0"/>
              <w:jc w:val="center"/>
              <w:rPr>
                <w:color w:val="000000" w:themeColor="text1"/>
              </w:rPr>
            </w:pPr>
          </w:p>
          <w:p w:rsidR="00346A74" w:rsidRPr="00F21586" w:rsidRDefault="00346A74" w:rsidP="004956F9">
            <w:pPr>
              <w:pStyle w:val="BodyText"/>
              <w:spacing w:after="0"/>
              <w:jc w:val="center"/>
              <w:rPr>
                <w:color w:val="000000" w:themeColor="text1"/>
              </w:rPr>
            </w:pPr>
            <w:r w:rsidRPr="00F21586">
              <w:rPr>
                <w:color w:val="000000" w:themeColor="text1"/>
              </w:rPr>
              <w:t>0,000</w:t>
            </w:r>
          </w:p>
          <w:p w:rsidR="00346A74" w:rsidRPr="00F21586" w:rsidRDefault="00346A74" w:rsidP="004956F9">
            <w:pPr>
              <w:pStyle w:val="BodyText"/>
              <w:spacing w:after="0"/>
              <w:jc w:val="center"/>
              <w:rPr>
                <w:color w:val="000000" w:themeColor="text1"/>
              </w:rPr>
            </w:pPr>
            <w:r w:rsidRPr="00F21586">
              <w:rPr>
                <w:color w:val="000000" w:themeColor="text1"/>
              </w:rPr>
              <w:t>0,000</w:t>
            </w:r>
          </w:p>
        </w:tc>
      </w:tr>
      <w:tr w:rsidR="00346A74" w:rsidRPr="00F21586" w:rsidTr="004956F9">
        <w:trPr>
          <w:trHeight w:val="726"/>
          <w:jc w:val="center"/>
        </w:trPr>
        <w:tc>
          <w:tcPr>
            <w:tcW w:w="3260" w:type="dxa"/>
            <w:tcBorders>
              <w:top w:val="single" w:sz="4" w:space="0" w:color="auto"/>
              <w:bottom w:val="single" w:sz="4" w:space="0" w:color="auto"/>
            </w:tcBorders>
          </w:tcPr>
          <w:p w:rsidR="00346A74" w:rsidRPr="00F21586" w:rsidRDefault="00346A74" w:rsidP="004956F9">
            <w:pPr>
              <w:pStyle w:val="BodyText"/>
              <w:spacing w:after="0"/>
              <w:rPr>
                <w:color w:val="000000" w:themeColor="text1"/>
              </w:rPr>
            </w:pPr>
            <w:r w:rsidRPr="00F21586">
              <w:rPr>
                <w:color w:val="000000" w:themeColor="text1"/>
              </w:rPr>
              <w:t>Attitude</w:t>
            </w:r>
          </w:p>
          <w:p w:rsidR="00346A74" w:rsidRPr="00F21586" w:rsidRDefault="00346A74" w:rsidP="006C6261">
            <w:pPr>
              <w:pStyle w:val="BodyText"/>
              <w:numPr>
                <w:ilvl w:val="0"/>
                <w:numId w:val="17"/>
              </w:numPr>
              <w:spacing w:after="0"/>
              <w:rPr>
                <w:color w:val="000000" w:themeColor="text1"/>
              </w:rPr>
            </w:pPr>
            <w:r w:rsidRPr="00F21586">
              <w:rPr>
                <w:i/>
                <w:color w:val="000000" w:themeColor="text1"/>
              </w:rPr>
              <w:t>Pre-test</w:t>
            </w:r>
            <w:r w:rsidRPr="00F21586">
              <w:rPr>
                <w:color w:val="000000" w:themeColor="text1"/>
              </w:rPr>
              <w:t xml:space="preserve"> </w:t>
            </w:r>
          </w:p>
          <w:p w:rsidR="00346A74" w:rsidRPr="00F21586" w:rsidRDefault="00346A74" w:rsidP="006C6261">
            <w:pPr>
              <w:pStyle w:val="BodyText"/>
              <w:numPr>
                <w:ilvl w:val="0"/>
                <w:numId w:val="17"/>
              </w:numPr>
              <w:spacing w:after="0"/>
              <w:rPr>
                <w:color w:val="000000" w:themeColor="text1"/>
              </w:rPr>
            </w:pPr>
            <w:r w:rsidRPr="00F21586">
              <w:rPr>
                <w:i/>
                <w:color w:val="000000" w:themeColor="text1"/>
              </w:rPr>
              <w:t>Post-test</w:t>
            </w:r>
            <w:r w:rsidRPr="00F21586">
              <w:rPr>
                <w:color w:val="000000" w:themeColor="text1"/>
              </w:rPr>
              <w:t xml:space="preserve"> </w:t>
            </w:r>
          </w:p>
        </w:tc>
        <w:tc>
          <w:tcPr>
            <w:tcW w:w="1843" w:type="dxa"/>
            <w:tcBorders>
              <w:top w:val="single" w:sz="4" w:space="0" w:color="auto"/>
              <w:bottom w:val="single" w:sz="4" w:space="0" w:color="auto"/>
            </w:tcBorders>
          </w:tcPr>
          <w:p w:rsidR="00346A74" w:rsidRPr="00F21586" w:rsidRDefault="00346A74" w:rsidP="004956F9">
            <w:pPr>
              <w:pStyle w:val="BodyText"/>
              <w:spacing w:after="0"/>
              <w:jc w:val="center"/>
              <w:rPr>
                <w:color w:val="000000" w:themeColor="text1"/>
              </w:rPr>
            </w:pPr>
          </w:p>
          <w:p w:rsidR="00346A74" w:rsidRPr="00F21586" w:rsidRDefault="00346A74" w:rsidP="004956F9">
            <w:pPr>
              <w:pStyle w:val="BodyText"/>
              <w:spacing w:after="0"/>
              <w:jc w:val="center"/>
              <w:rPr>
                <w:color w:val="000000" w:themeColor="text1"/>
              </w:rPr>
            </w:pPr>
            <w:r w:rsidRPr="00F21586">
              <w:rPr>
                <w:color w:val="000000" w:themeColor="text1"/>
              </w:rPr>
              <w:t>1,558</w:t>
            </w:r>
          </w:p>
          <w:p w:rsidR="00346A74" w:rsidRPr="00F21586" w:rsidRDefault="00346A74" w:rsidP="004956F9">
            <w:pPr>
              <w:pStyle w:val="BodyText"/>
              <w:spacing w:after="0"/>
              <w:jc w:val="center"/>
              <w:rPr>
                <w:color w:val="000000" w:themeColor="text1"/>
              </w:rPr>
            </w:pPr>
            <w:r w:rsidRPr="00F21586">
              <w:rPr>
                <w:color w:val="000000" w:themeColor="text1"/>
              </w:rPr>
              <w:t>2,023</w:t>
            </w:r>
          </w:p>
        </w:tc>
        <w:tc>
          <w:tcPr>
            <w:tcW w:w="1784" w:type="dxa"/>
            <w:tcBorders>
              <w:top w:val="single" w:sz="4" w:space="0" w:color="auto"/>
              <w:bottom w:val="single" w:sz="4" w:space="0" w:color="auto"/>
            </w:tcBorders>
          </w:tcPr>
          <w:p w:rsidR="00346A74" w:rsidRPr="00F21586" w:rsidRDefault="00346A74" w:rsidP="004956F9">
            <w:pPr>
              <w:pStyle w:val="BodyText"/>
              <w:spacing w:after="0"/>
              <w:jc w:val="center"/>
              <w:rPr>
                <w:color w:val="000000" w:themeColor="text1"/>
              </w:rPr>
            </w:pPr>
          </w:p>
          <w:p w:rsidR="00346A74" w:rsidRPr="00F21586" w:rsidRDefault="00346A74" w:rsidP="004956F9">
            <w:pPr>
              <w:pStyle w:val="BodyText"/>
              <w:spacing w:after="0"/>
              <w:jc w:val="center"/>
              <w:rPr>
                <w:color w:val="000000" w:themeColor="text1"/>
              </w:rPr>
            </w:pPr>
            <w:r w:rsidRPr="00F21586">
              <w:rPr>
                <w:color w:val="000000" w:themeColor="text1"/>
              </w:rPr>
              <w:t>0,016</w:t>
            </w:r>
          </w:p>
          <w:p w:rsidR="00346A74" w:rsidRPr="00F21586" w:rsidRDefault="00346A74" w:rsidP="004956F9">
            <w:pPr>
              <w:pStyle w:val="BodyText"/>
              <w:spacing w:after="0"/>
              <w:jc w:val="center"/>
              <w:rPr>
                <w:color w:val="000000" w:themeColor="text1"/>
              </w:rPr>
            </w:pPr>
            <w:r w:rsidRPr="00F21586">
              <w:rPr>
                <w:color w:val="000000" w:themeColor="text1"/>
              </w:rPr>
              <w:t>0,001</w:t>
            </w:r>
          </w:p>
        </w:tc>
      </w:tr>
    </w:tbl>
    <w:p w:rsidR="00E8573C" w:rsidRDefault="00E8573C" w:rsidP="00E8573C">
      <w:pPr>
        <w:pStyle w:val="ListParagraph"/>
        <w:tabs>
          <w:tab w:val="left" w:pos="993"/>
        </w:tabs>
        <w:ind w:left="709" w:firstLine="709"/>
        <w:jc w:val="both"/>
        <w:rPr>
          <w:rFonts w:ascii="Times New Roman" w:hAnsi="Times New Roman"/>
          <w:color w:val="000000" w:themeColor="text1"/>
          <w:sz w:val="20"/>
          <w:szCs w:val="20"/>
        </w:rPr>
      </w:pPr>
    </w:p>
    <w:p w:rsidR="00E8573C" w:rsidRPr="00E8573C" w:rsidRDefault="00E8573C" w:rsidP="006C6261">
      <w:pPr>
        <w:pStyle w:val="ListParagraph"/>
        <w:numPr>
          <w:ilvl w:val="0"/>
          <w:numId w:val="7"/>
        </w:numPr>
        <w:ind w:left="426" w:hanging="426"/>
        <w:jc w:val="both"/>
        <w:rPr>
          <w:rFonts w:ascii="Times New Roman" w:hAnsi="Times New Roman"/>
          <w:b/>
          <w:color w:val="000000" w:themeColor="text1"/>
          <w:sz w:val="20"/>
          <w:szCs w:val="20"/>
        </w:rPr>
      </w:pPr>
      <w:r>
        <w:rPr>
          <w:rFonts w:ascii="Times New Roman" w:hAnsi="Times New Roman"/>
          <w:b/>
          <w:color w:val="000000" w:themeColor="text1"/>
          <w:sz w:val="20"/>
          <w:szCs w:val="20"/>
          <w:lang w:val="id-ID"/>
        </w:rPr>
        <w:t>B</w:t>
      </w:r>
      <w:proofErr w:type="spellStart"/>
      <w:r w:rsidRPr="00E8573C">
        <w:rPr>
          <w:rFonts w:ascii="Times New Roman" w:hAnsi="Times New Roman"/>
          <w:b/>
          <w:color w:val="000000" w:themeColor="text1"/>
          <w:sz w:val="20"/>
          <w:szCs w:val="20"/>
        </w:rPr>
        <w:t>ivariate</w:t>
      </w:r>
      <w:proofErr w:type="spellEnd"/>
      <w:r w:rsidRPr="00E8573C">
        <w:rPr>
          <w:rFonts w:ascii="Times New Roman" w:hAnsi="Times New Roman"/>
          <w:b/>
          <w:color w:val="000000" w:themeColor="text1"/>
          <w:sz w:val="20"/>
          <w:szCs w:val="20"/>
        </w:rPr>
        <w:t xml:space="preserve"> Analysis</w:t>
      </w:r>
    </w:p>
    <w:p w:rsidR="00E8573C" w:rsidRPr="00E8573C" w:rsidRDefault="00E8573C" w:rsidP="00E8573C">
      <w:pPr>
        <w:pStyle w:val="ListParagraph"/>
        <w:tabs>
          <w:tab w:val="left" w:pos="709"/>
        </w:tabs>
        <w:ind w:left="0" w:firstLine="709"/>
        <w:jc w:val="both"/>
        <w:rPr>
          <w:rFonts w:ascii="Times New Roman" w:hAnsi="Times New Roman"/>
          <w:color w:val="000000" w:themeColor="text1"/>
          <w:sz w:val="20"/>
          <w:szCs w:val="20"/>
        </w:rPr>
      </w:pPr>
      <w:r w:rsidRPr="00E8573C">
        <w:rPr>
          <w:rFonts w:ascii="Times New Roman" w:hAnsi="Times New Roman"/>
          <w:color w:val="000000" w:themeColor="text1"/>
          <w:sz w:val="20"/>
          <w:szCs w:val="20"/>
        </w:rPr>
        <w:tab/>
        <w:t xml:space="preserve">The results of the </w:t>
      </w:r>
      <w:proofErr w:type="spellStart"/>
      <w:r w:rsidRPr="00E8573C">
        <w:rPr>
          <w:rFonts w:ascii="Times New Roman" w:hAnsi="Times New Roman"/>
          <w:color w:val="000000" w:themeColor="text1"/>
          <w:sz w:val="20"/>
          <w:szCs w:val="20"/>
        </w:rPr>
        <w:t>pretest</w:t>
      </w:r>
      <w:proofErr w:type="spellEnd"/>
      <w:r w:rsidRPr="00E8573C">
        <w:rPr>
          <w:rFonts w:ascii="Times New Roman" w:hAnsi="Times New Roman"/>
          <w:color w:val="000000" w:themeColor="text1"/>
          <w:sz w:val="20"/>
          <w:szCs w:val="20"/>
        </w:rPr>
        <w:t xml:space="preserve"> and </w:t>
      </w:r>
      <w:proofErr w:type="spellStart"/>
      <w:r w:rsidRPr="00E8573C">
        <w:rPr>
          <w:rFonts w:ascii="Times New Roman" w:hAnsi="Times New Roman"/>
          <w:color w:val="000000" w:themeColor="text1"/>
          <w:sz w:val="20"/>
          <w:szCs w:val="20"/>
        </w:rPr>
        <w:t>posttest</w:t>
      </w:r>
      <w:proofErr w:type="spellEnd"/>
      <w:r w:rsidRPr="00E8573C">
        <w:rPr>
          <w:rFonts w:ascii="Times New Roman" w:hAnsi="Times New Roman"/>
          <w:color w:val="000000" w:themeColor="text1"/>
          <w:sz w:val="20"/>
          <w:szCs w:val="20"/>
        </w:rPr>
        <w:t xml:space="preserve"> knowledge and attitudes about risky pregnancy with a mean rank value at the time of the </w:t>
      </w:r>
      <w:proofErr w:type="spellStart"/>
      <w:r w:rsidRPr="00E8573C">
        <w:rPr>
          <w:rFonts w:ascii="Times New Roman" w:hAnsi="Times New Roman"/>
          <w:color w:val="000000" w:themeColor="text1"/>
          <w:sz w:val="20"/>
          <w:szCs w:val="20"/>
        </w:rPr>
        <w:t>pretest</w:t>
      </w:r>
      <w:proofErr w:type="spellEnd"/>
      <w:r w:rsidRPr="00E8573C">
        <w:rPr>
          <w:rFonts w:ascii="Times New Roman" w:hAnsi="Times New Roman"/>
          <w:color w:val="000000" w:themeColor="text1"/>
          <w:sz w:val="20"/>
          <w:szCs w:val="20"/>
        </w:rPr>
        <w:t xml:space="preserve"> was 42.08, while at the </w:t>
      </w:r>
      <w:proofErr w:type="spellStart"/>
      <w:r w:rsidRPr="00E8573C">
        <w:rPr>
          <w:rFonts w:ascii="Times New Roman" w:hAnsi="Times New Roman"/>
          <w:color w:val="000000" w:themeColor="text1"/>
          <w:sz w:val="20"/>
          <w:szCs w:val="20"/>
        </w:rPr>
        <w:t>posttest</w:t>
      </w:r>
      <w:proofErr w:type="spellEnd"/>
      <w:r w:rsidRPr="00E8573C">
        <w:rPr>
          <w:rFonts w:ascii="Times New Roman" w:hAnsi="Times New Roman"/>
          <w:color w:val="000000" w:themeColor="text1"/>
          <w:sz w:val="20"/>
          <w:szCs w:val="20"/>
        </w:rPr>
        <w:t xml:space="preserve"> was 48.13. The Z_ Wilcoxon Value was 2.989 and the significant value was 0.003 (p &lt;0.05). It can be concluded that there is a significant difference between the results of the </w:t>
      </w:r>
      <w:proofErr w:type="spellStart"/>
      <w:r w:rsidRPr="00E8573C">
        <w:rPr>
          <w:rFonts w:ascii="Times New Roman" w:hAnsi="Times New Roman"/>
          <w:color w:val="000000" w:themeColor="text1"/>
          <w:sz w:val="20"/>
          <w:szCs w:val="20"/>
        </w:rPr>
        <w:t>pretest</w:t>
      </w:r>
      <w:proofErr w:type="spellEnd"/>
      <w:r w:rsidRPr="00E8573C">
        <w:rPr>
          <w:rFonts w:ascii="Times New Roman" w:hAnsi="Times New Roman"/>
          <w:color w:val="000000" w:themeColor="text1"/>
          <w:sz w:val="20"/>
          <w:szCs w:val="20"/>
        </w:rPr>
        <w:t xml:space="preserve"> and </w:t>
      </w:r>
      <w:proofErr w:type="spellStart"/>
      <w:r w:rsidRPr="00E8573C">
        <w:rPr>
          <w:rFonts w:ascii="Times New Roman" w:hAnsi="Times New Roman"/>
          <w:color w:val="000000" w:themeColor="text1"/>
          <w:sz w:val="20"/>
          <w:szCs w:val="20"/>
        </w:rPr>
        <w:t>posttest</w:t>
      </w:r>
      <w:proofErr w:type="spellEnd"/>
      <w:r w:rsidRPr="00E8573C">
        <w:rPr>
          <w:rFonts w:ascii="Times New Roman" w:hAnsi="Times New Roman"/>
          <w:color w:val="000000" w:themeColor="text1"/>
          <w:sz w:val="20"/>
          <w:szCs w:val="20"/>
        </w:rPr>
        <w:t xml:space="preserve"> on the level of knowledge about risky pregnancy by conducting </w:t>
      </w:r>
      <w:proofErr w:type="spellStart"/>
      <w:r w:rsidRPr="00E8573C">
        <w:rPr>
          <w:rFonts w:ascii="Times New Roman" w:hAnsi="Times New Roman"/>
          <w:color w:val="000000" w:themeColor="text1"/>
          <w:sz w:val="20"/>
          <w:szCs w:val="20"/>
        </w:rPr>
        <w:t>counseling</w:t>
      </w:r>
      <w:proofErr w:type="spellEnd"/>
      <w:r w:rsidRPr="00E8573C">
        <w:rPr>
          <w:rFonts w:ascii="Times New Roman" w:hAnsi="Times New Roman"/>
          <w:color w:val="000000" w:themeColor="text1"/>
          <w:sz w:val="20"/>
          <w:szCs w:val="20"/>
        </w:rPr>
        <w:t xml:space="preserve">. These results prove that after intervention, </w:t>
      </w:r>
      <w:proofErr w:type="spellStart"/>
      <w:r w:rsidRPr="00E8573C">
        <w:rPr>
          <w:rFonts w:ascii="Times New Roman" w:hAnsi="Times New Roman"/>
          <w:color w:val="000000" w:themeColor="text1"/>
          <w:sz w:val="20"/>
          <w:szCs w:val="20"/>
        </w:rPr>
        <w:t>Ho's</w:t>
      </w:r>
      <w:proofErr w:type="spellEnd"/>
      <w:r w:rsidRPr="00E8573C">
        <w:rPr>
          <w:rFonts w:ascii="Times New Roman" w:hAnsi="Times New Roman"/>
          <w:color w:val="000000" w:themeColor="text1"/>
          <w:sz w:val="20"/>
          <w:szCs w:val="20"/>
        </w:rPr>
        <w:t xml:space="preserve"> hypothesis is rejected and Ha is accepted. It means that there is an effect of health education on the level of knowledge about risky pregnancies at SMK </w:t>
      </w:r>
      <w:proofErr w:type="spellStart"/>
      <w:r w:rsidRPr="00E8573C">
        <w:rPr>
          <w:rFonts w:ascii="Times New Roman" w:hAnsi="Times New Roman"/>
          <w:color w:val="000000" w:themeColor="text1"/>
          <w:sz w:val="20"/>
          <w:szCs w:val="20"/>
        </w:rPr>
        <w:t>Muhammadiyah</w:t>
      </w:r>
      <w:proofErr w:type="spellEnd"/>
      <w:r w:rsidRPr="00E8573C">
        <w:rPr>
          <w:rFonts w:ascii="Times New Roman" w:hAnsi="Times New Roman"/>
          <w:color w:val="000000" w:themeColor="text1"/>
          <w:sz w:val="20"/>
          <w:szCs w:val="20"/>
        </w:rPr>
        <w:t xml:space="preserve"> 1 </w:t>
      </w:r>
      <w:proofErr w:type="spellStart"/>
      <w:r w:rsidRPr="00E8573C">
        <w:rPr>
          <w:rFonts w:ascii="Times New Roman" w:hAnsi="Times New Roman"/>
          <w:color w:val="000000" w:themeColor="text1"/>
          <w:sz w:val="20"/>
          <w:szCs w:val="20"/>
        </w:rPr>
        <w:t>Wonosobo</w:t>
      </w:r>
      <w:proofErr w:type="spellEnd"/>
      <w:r w:rsidRPr="00E8573C">
        <w:rPr>
          <w:rFonts w:ascii="Times New Roman" w:hAnsi="Times New Roman"/>
          <w:color w:val="000000" w:themeColor="text1"/>
          <w:sz w:val="20"/>
          <w:szCs w:val="20"/>
        </w:rPr>
        <w:t xml:space="preserve"> in 2018. </w:t>
      </w:r>
    </w:p>
    <w:p w:rsidR="009A1E3A" w:rsidRPr="00E8573C" w:rsidRDefault="00E8573C" w:rsidP="00E8573C">
      <w:pPr>
        <w:pStyle w:val="ListParagraph"/>
        <w:tabs>
          <w:tab w:val="left" w:pos="709"/>
        </w:tabs>
        <w:spacing w:line="240" w:lineRule="auto"/>
        <w:ind w:left="0" w:firstLine="709"/>
        <w:jc w:val="both"/>
        <w:rPr>
          <w:rFonts w:ascii="Times New Roman" w:hAnsi="Times New Roman"/>
          <w:color w:val="000000" w:themeColor="text1"/>
          <w:sz w:val="20"/>
          <w:szCs w:val="20"/>
        </w:rPr>
      </w:pPr>
      <w:r w:rsidRPr="00E8573C">
        <w:rPr>
          <w:rFonts w:ascii="Times New Roman" w:hAnsi="Times New Roman"/>
          <w:color w:val="000000" w:themeColor="text1"/>
          <w:sz w:val="20"/>
          <w:szCs w:val="20"/>
        </w:rPr>
        <w:tab/>
        <w:t xml:space="preserve">The mean rank value at the time of the </w:t>
      </w:r>
      <w:proofErr w:type="spellStart"/>
      <w:r w:rsidRPr="00E8573C">
        <w:rPr>
          <w:rFonts w:ascii="Times New Roman" w:hAnsi="Times New Roman"/>
          <w:color w:val="000000" w:themeColor="text1"/>
          <w:sz w:val="20"/>
          <w:szCs w:val="20"/>
        </w:rPr>
        <w:t>pretest</w:t>
      </w:r>
      <w:proofErr w:type="spellEnd"/>
      <w:r w:rsidRPr="00E8573C">
        <w:rPr>
          <w:rFonts w:ascii="Times New Roman" w:hAnsi="Times New Roman"/>
          <w:color w:val="000000" w:themeColor="text1"/>
          <w:sz w:val="20"/>
          <w:szCs w:val="20"/>
        </w:rPr>
        <w:t xml:space="preserve"> was 51.76 while at the </w:t>
      </w:r>
      <w:proofErr w:type="spellStart"/>
      <w:r w:rsidRPr="00E8573C">
        <w:rPr>
          <w:rFonts w:ascii="Times New Roman" w:hAnsi="Times New Roman"/>
          <w:color w:val="000000" w:themeColor="text1"/>
          <w:sz w:val="20"/>
          <w:szCs w:val="20"/>
        </w:rPr>
        <w:t>posttest</w:t>
      </w:r>
      <w:proofErr w:type="spellEnd"/>
      <w:r w:rsidRPr="00E8573C">
        <w:rPr>
          <w:rFonts w:ascii="Times New Roman" w:hAnsi="Times New Roman"/>
          <w:color w:val="000000" w:themeColor="text1"/>
          <w:sz w:val="20"/>
          <w:szCs w:val="20"/>
        </w:rPr>
        <w:t xml:space="preserve">, it was 39.03. Z_ Wilcoxon value was obtained at 2.590 and a significant value of 0.010 (p &lt;5%), it can be seen that there are significant differences in the results of the </w:t>
      </w:r>
      <w:proofErr w:type="spellStart"/>
      <w:r w:rsidRPr="00E8573C">
        <w:rPr>
          <w:rFonts w:ascii="Times New Roman" w:hAnsi="Times New Roman"/>
          <w:color w:val="000000" w:themeColor="text1"/>
          <w:sz w:val="20"/>
          <w:szCs w:val="20"/>
        </w:rPr>
        <w:t>pretest</w:t>
      </w:r>
      <w:proofErr w:type="spellEnd"/>
      <w:r w:rsidRPr="00E8573C">
        <w:rPr>
          <w:rFonts w:ascii="Times New Roman" w:hAnsi="Times New Roman"/>
          <w:color w:val="000000" w:themeColor="text1"/>
          <w:sz w:val="20"/>
          <w:szCs w:val="20"/>
        </w:rPr>
        <w:t xml:space="preserve"> and </w:t>
      </w:r>
      <w:proofErr w:type="spellStart"/>
      <w:r w:rsidRPr="00E8573C">
        <w:rPr>
          <w:rFonts w:ascii="Times New Roman" w:hAnsi="Times New Roman"/>
          <w:color w:val="000000" w:themeColor="text1"/>
          <w:sz w:val="20"/>
          <w:szCs w:val="20"/>
        </w:rPr>
        <w:t>posttest</w:t>
      </w:r>
      <w:proofErr w:type="spellEnd"/>
      <w:r w:rsidRPr="00E8573C">
        <w:rPr>
          <w:rFonts w:ascii="Times New Roman" w:hAnsi="Times New Roman"/>
          <w:color w:val="000000" w:themeColor="text1"/>
          <w:sz w:val="20"/>
          <w:szCs w:val="20"/>
        </w:rPr>
        <w:t xml:space="preserve"> on attitudes about risky pregnancy with the existence of reproductive health education. These results prove after the intervention, the hypothesis </w:t>
      </w:r>
      <w:proofErr w:type="spellStart"/>
      <w:r w:rsidRPr="00E8573C">
        <w:rPr>
          <w:rFonts w:ascii="Times New Roman" w:hAnsi="Times New Roman"/>
          <w:color w:val="000000" w:themeColor="text1"/>
          <w:sz w:val="20"/>
          <w:szCs w:val="20"/>
        </w:rPr>
        <w:t>Ho</w:t>
      </w:r>
      <w:proofErr w:type="spellEnd"/>
      <w:r w:rsidRPr="00E8573C">
        <w:rPr>
          <w:rFonts w:ascii="Times New Roman" w:hAnsi="Times New Roman"/>
          <w:color w:val="000000" w:themeColor="text1"/>
          <w:sz w:val="20"/>
          <w:szCs w:val="20"/>
        </w:rPr>
        <w:t xml:space="preserve"> is rejected and Ha is accepted. This means that there is an influence of health education on attitudes about risky pregnancies in </w:t>
      </w:r>
      <w:proofErr w:type="spellStart"/>
      <w:r w:rsidRPr="00E8573C">
        <w:rPr>
          <w:rFonts w:ascii="Times New Roman" w:hAnsi="Times New Roman"/>
          <w:color w:val="000000" w:themeColor="text1"/>
          <w:sz w:val="20"/>
          <w:szCs w:val="20"/>
        </w:rPr>
        <w:t>Wonosobo</w:t>
      </w:r>
      <w:proofErr w:type="spellEnd"/>
      <w:r w:rsidRPr="00E8573C">
        <w:rPr>
          <w:rFonts w:ascii="Times New Roman" w:hAnsi="Times New Roman"/>
          <w:color w:val="000000" w:themeColor="text1"/>
          <w:sz w:val="20"/>
          <w:szCs w:val="20"/>
        </w:rPr>
        <w:t xml:space="preserve"> Vocational School 1 </w:t>
      </w:r>
      <w:proofErr w:type="spellStart"/>
      <w:r w:rsidRPr="00E8573C">
        <w:rPr>
          <w:rFonts w:ascii="Times New Roman" w:hAnsi="Times New Roman"/>
          <w:color w:val="000000" w:themeColor="text1"/>
          <w:sz w:val="20"/>
          <w:szCs w:val="20"/>
        </w:rPr>
        <w:t>Muhammadiyah</w:t>
      </w:r>
      <w:proofErr w:type="spellEnd"/>
      <w:r w:rsidRPr="00E8573C">
        <w:rPr>
          <w:rFonts w:ascii="Times New Roman" w:hAnsi="Times New Roman"/>
          <w:color w:val="000000" w:themeColor="text1"/>
          <w:sz w:val="20"/>
          <w:szCs w:val="20"/>
        </w:rPr>
        <w:t xml:space="preserve"> in 2018.</w:t>
      </w:r>
    </w:p>
    <w:tbl>
      <w:tblPr>
        <w:tblpPr w:leftFromText="180" w:rightFromText="180" w:vertAnchor="text" w:horzAnchor="margin" w:tblpXSpec="center" w:tblpY="376"/>
        <w:tblW w:w="0" w:type="auto"/>
        <w:tblBorders>
          <w:top w:val="single" w:sz="4" w:space="0" w:color="auto"/>
          <w:bottom w:val="single" w:sz="4" w:space="0" w:color="auto"/>
        </w:tblBorders>
        <w:tblLook w:val="01E0" w:firstRow="1" w:lastRow="1" w:firstColumn="1" w:lastColumn="1" w:noHBand="0" w:noVBand="0"/>
      </w:tblPr>
      <w:tblGrid>
        <w:gridCol w:w="2003"/>
        <w:gridCol w:w="1307"/>
        <w:gridCol w:w="903"/>
        <w:gridCol w:w="1212"/>
        <w:gridCol w:w="1447"/>
      </w:tblGrid>
      <w:tr w:rsidR="00E8573C" w:rsidRPr="00FD73B1" w:rsidTr="004956F9">
        <w:trPr>
          <w:trHeight w:val="230"/>
        </w:trPr>
        <w:tc>
          <w:tcPr>
            <w:tcW w:w="2003" w:type="dxa"/>
            <w:tcBorders>
              <w:top w:val="single" w:sz="4" w:space="0" w:color="auto"/>
              <w:bottom w:val="single" w:sz="4" w:space="0" w:color="auto"/>
            </w:tcBorders>
          </w:tcPr>
          <w:p w:rsidR="00E8573C" w:rsidRPr="00FD73B1" w:rsidRDefault="00E8573C" w:rsidP="004956F9">
            <w:pPr>
              <w:pStyle w:val="BodyText"/>
              <w:spacing w:after="0"/>
              <w:jc w:val="center"/>
              <w:rPr>
                <w:b/>
                <w:color w:val="000000" w:themeColor="text1"/>
              </w:rPr>
            </w:pPr>
            <w:r>
              <w:rPr>
                <w:b/>
                <w:color w:val="000000" w:themeColor="text1"/>
              </w:rPr>
              <w:t>Variable</w:t>
            </w:r>
          </w:p>
        </w:tc>
        <w:tc>
          <w:tcPr>
            <w:tcW w:w="1307" w:type="dxa"/>
            <w:tcBorders>
              <w:top w:val="single" w:sz="4" w:space="0" w:color="auto"/>
              <w:bottom w:val="single" w:sz="4" w:space="0" w:color="auto"/>
            </w:tcBorders>
          </w:tcPr>
          <w:p w:rsidR="00E8573C" w:rsidRPr="00FD73B1" w:rsidRDefault="00E8573C" w:rsidP="004956F9">
            <w:pPr>
              <w:pStyle w:val="BodyText"/>
              <w:spacing w:after="0"/>
              <w:jc w:val="center"/>
              <w:rPr>
                <w:b/>
                <w:i/>
                <w:color w:val="000000" w:themeColor="text1"/>
              </w:rPr>
            </w:pPr>
            <w:r w:rsidRPr="00FD73B1">
              <w:rPr>
                <w:b/>
                <w:i/>
                <w:color w:val="000000" w:themeColor="text1"/>
              </w:rPr>
              <w:t>Mean Rank</w:t>
            </w:r>
          </w:p>
        </w:tc>
        <w:tc>
          <w:tcPr>
            <w:tcW w:w="903" w:type="dxa"/>
            <w:tcBorders>
              <w:top w:val="single" w:sz="4" w:space="0" w:color="auto"/>
              <w:bottom w:val="single" w:sz="4" w:space="0" w:color="auto"/>
            </w:tcBorders>
          </w:tcPr>
          <w:p w:rsidR="00E8573C" w:rsidRPr="00FD73B1" w:rsidRDefault="00E8573C" w:rsidP="004956F9">
            <w:pPr>
              <w:pStyle w:val="BodyText"/>
              <w:spacing w:after="0"/>
              <w:jc w:val="center"/>
              <w:rPr>
                <w:b/>
                <w:color w:val="000000" w:themeColor="text1"/>
              </w:rPr>
            </w:pPr>
            <w:r w:rsidRPr="00FD73B1">
              <w:rPr>
                <w:b/>
                <w:color w:val="000000" w:themeColor="text1"/>
              </w:rPr>
              <w:t>Sig</w:t>
            </w:r>
          </w:p>
        </w:tc>
        <w:tc>
          <w:tcPr>
            <w:tcW w:w="1212" w:type="dxa"/>
            <w:tcBorders>
              <w:top w:val="single" w:sz="4" w:space="0" w:color="auto"/>
              <w:bottom w:val="single" w:sz="4" w:space="0" w:color="auto"/>
            </w:tcBorders>
          </w:tcPr>
          <w:p w:rsidR="00E8573C" w:rsidRPr="00FD73B1" w:rsidRDefault="00E8573C" w:rsidP="004956F9">
            <w:pPr>
              <w:pStyle w:val="BodyText"/>
              <w:spacing w:after="0"/>
              <w:jc w:val="center"/>
              <w:rPr>
                <w:b/>
                <w:color w:val="000000" w:themeColor="text1"/>
              </w:rPr>
            </w:pPr>
            <w:r w:rsidRPr="00FD73B1">
              <w:rPr>
                <w:b/>
                <w:color w:val="000000" w:themeColor="text1"/>
              </w:rPr>
              <w:t>Z_</w:t>
            </w:r>
            <w:r w:rsidRPr="00FD73B1">
              <w:rPr>
                <w:b/>
                <w:i/>
                <w:color w:val="000000" w:themeColor="text1"/>
                <w:vertAlign w:val="subscript"/>
              </w:rPr>
              <w:t>Wilcoxon</w:t>
            </w:r>
            <w:r w:rsidRPr="00FD73B1">
              <w:rPr>
                <w:b/>
                <w:color w:val="000000" w:themeColor="text1"/>
              </w:rPr>
              <w:t xml:space="preserve"> </w:t>
            </w:r>
          </w:p>
        </w:tc>
        <w:tc>
          <w:tcPr>
            <w:tcW w:w="1447" w:type="dxa"/>
            <w:tcBorders>
              <w:top w:val="single" w:sz="4" w:space="0" w:color="auto"/>
              <w:bottom w:val="single" w:sz="4" w:space="0" w:color="auto"/>
            </w:tcBorders>
          </w:tcPr>
          <w:p w:rsidR="00E8573C" w:rsidRPr="00FD73B1" w:rsidRDefault="00E8573C" w:rsidP="004956F9">
            <w:pPr>
              <w:pStyle w:val="BodyText"/>
              <w:spacing w:after="0"/>
              <w:jc w:val="center"/>
              <w:rPr>
                <w:b/>
                <w:color w:val="000000" w:themeColor="text1"/>
              </w:rPr>
            </w:pPr>
            <w:r>
              <w:rPr>
                <w:b/>
                <w:color w:val="000000" w:themeColor="text1"/>
              </w:rPr>
              <w:t>Information</w:t>
            </w:r>
          </w:p>
        </w:tc>
      </w:tr>
      <w:tr w:rsidR="00E8573C" w:rsidRPr="00FD73B1" w:rsidTr="004956F9">
        <w:trPr>
          <w:trHeight w:val="378"/>
        </w:trPr>
        <w:tc>
          <w:tcPr>
            <w:tcW w:w="2003" w:type="dxa"/>
            <w:tcBorders>
              <w:top w:val="single" w:sz="4" w:space="0" w:color="auto"/>
              <w:bottom w:val="nil"/>
            </w:tcBorders>
          </w:tcPr>
          <w:p w:rsidR="00E8573C" w:rsidRPr="008E7905" w:rsidRDefault="00E8573C" w:rsidP="004956F9">
            <w:pPr>
              <w:pStyle w:val="BodyText"/>
              <w:spacing w:after="0"/>
              <w:rPr>
                <w:color w:val="000000" w:themeColor="text1"/>
              </w:rPr>
            </w:pPr>
            <w:r>
              <w:rPr>
                <w:color w:val="000000" w:themeColor="text1"/>
              </w:rPr>
              <w:t>Knowledge</w:t>
            </w:r>
          </w:p>
        </w:tc>
        <w:tc>
          <w:tcPr>
            <w:tcW w:w="1307" w:type="dxa"/>
            <w:tcBorders>
              <w:top w:val="single" w:sz="4" w:space="0" w:color="auto"/>
              <w:bottom w:val="nil"/>
            </w:tcBorders>
            <w:vAlign w:val="center"/>
          </w:tcPr>
          <w:p w:rsidR="00E8573C" w:rsidRPr="00FD73B1" w:rsidRDefault="00E8573C" w:rsidP="004956F9">
            <w:pPr>
              <w:tabs>
                <w:tab w:val="left" w:pos="1560"/>
              </w:tabs>
              <w:jc w:val="center"/>
              <w:rPr>
                <w:color w:val="000000" w:themeColor="text1"/>
                <w:sz w:val="24"/>
                <w:szCs w:val="24"/>
              </w:rPr>
            </w:pPr>
          </w:p>
        </w:tc>
        <w:tc>
          <w:tcPr>
            <w:tcW w:w="903" w:type="dxa"/>
            <w:vMerge w:val="restart"/>
            <w:tcBorders>
              <w:top w:val="single" w:sz="4" w:space="0" w:color="auto"/>
              <w:bottom w:val="nil"/>
            </w:tcBorders>
            <w:vAlign w:val="center"/>
          </w:tcPr>
          <w:p w:rsidR="00E8573C" w:rsidRPr="00FD73B1" w:rsidRDefault="00E8573C" w:rsidP="004956F9">
            <w:pPr>
              <w:pStyle w:val="BodyText"/>
              <w:spacing w:after="0"/>
              <w:jc w:val="center"/>
              <w:rPr>
                <w:color w:val="000000" w:themeColor="text1"/>
              </w:rPr>
            </w:pPr>
            <w:r w:rsidRPr="00FD73B1">
              <w:rPr>
                <w:color w:val="000000" w:themeColor="text1"/>
              </w:rPr>
              <w:t>0,003</w:t>
            </w:r>
          </w:p>
        </w:tc>
        <w:tc>
          <w:tcPr>
            <w:tcW w:w="1212" w:type="dxa"/>
            <w:vMerge w:val="restart"/>
            <w:tcBorders>
              <w:top w:val="single" w:sz="4" w:space="0" w:color="auto"/>
              <w:bottom w:val="nil"/>
            </w:tcBorders>
            <w:vAlign w:val="center"/>
          </w:tcPr>
          <w:p w:rsidR="00E8573C" w:rsidRPr="00FD73B1" w:rsidRDefault="00E8573C" w:rsidP="004956F9">
            <w:pPr>
              <w:pStyle w:val="BodyText"/>
              <w:spacing w:after="0"/>
              <w:jc w:val="center"/>
              <w:rPr>
                <w:color w:val="000000" w:themeColor="text1"/>
              </w:rPr>
            </w:pPr>
            <w:r w:rsidRPr="00FD73B1">
              <w:rPr>
                <w:color w:val="000000" w:themeColor="text1"/>
              </w:rPr>
              <w:t>2,989</w:t>
            </w:r>
          </w:p>
        </w:tc>
        <w:tc>
          <w:tcPr>
            <w:tcW w:w="1447" w:type="dxa"/>
            <w:vMerge w:val="restart"/>
            <w:tcBorders>
              <w:top w:val="single" w:sz="4" w:space="0" w:color="auto"/>
              <w:bottom w:val="nil"/>
            </w:tcBorders>
            <w:vAlign w:val="center"/>
          </w:tcPr>
          <w:p w:rsidR="00E8573C" w:rsidRPr="00FD73B1" w:rsidRDefault="00E8573C" w:rsidP="004956F9">
            <w:pPr>
              <w:pStyle w:val="BodyText"/>
              <w:spacing w:after="0"/>
              <w:jc w:val="center"/>
              <w:rPr>
                <w:color w:val="000000" w:themeColor="text1"/>
              </w:rPr>
            </w:pPr>
            <w:r>
              <w:rPr>
                <w:color w:val="000000" w:themeColor="text1"/>
              </w:rPr>
              <w:t>Significant</w:t>
            </w:r>
          </w:p>
        </w:tc>
      </w:tr>
      <w:tr w:rsidR="00E8573C" w:rsidRPr="00FD73B1" w:rsidTr="004956F9">
        <w:trPr>
          <w:trHeight w:val="378"/>
        </w:trPr>
        <w:tc>
          <w:tcPr>
            <w:tcW w:w="2003" w:type="dxa"/>
            <w:tcBorders>
              <w:top w:val="nil"/>
            </w:tcBorders>
          </w:tcPr>
          <w:p w:rsidR="00E8573C" w:rsidRPr="00FD73B1" w:rsidRDefault="00E8573C" w:rsidP="006C6261">
            <w:pPr>
              <w:pStyle w:val="BodyText"/>
              <w:numPr>
                <w:ilvl w:val="0"/>
                <w:numId w:val="18"/>
              </w:numPr>
              <w:spacing w:after="0"/>
              <w:rPr>
                <w:color w:val="000000" w:themeColor="text1"/>
              </w:rPr>
            </w:pPr>
            <w:r w:rsidRPr="00FD73B1">
              <w:rPr>
                <w:i/>
                <w:color w:val="000000" w:themeColor="text1"/>
              </w:rPr>
              <w:t>Pre</w:t>
            </w:r>
            <w:r>
              <w:rPr>
                <w:i/>
                <w:color w:val="000000" w:themeColor="text1"/>
              </w:rPr>
              <w:t>-</w:t>
            </w:r>
            <w:r w:rsidRPr="00FD73B1">
              <w:rPr>
                <w:i/>
                <w:color w:val="000000" w:themeColor="text1"/>
              </w:rPr>
              <w:t>test</w:t>
            </w:r>
          </w:p>
        </w:tc>
        <w:tc>
          <w:tcPr>
            <w:tcW w:w="1307" w:type="dxa"/>
            <w:tcBorders>
              <w:top w:val="nil"/>
              <w:bottom w:val="nil"/>
            </w:tcBorders>
            <w:vAlign w:val="center"/>
          </w:tcPr>
          <w:p w:rsidR="00E8573C" w:rsidRPr="00FD73B1" w:rsidRDefault="00E8573C" w:rsidP="004956F9">
            <w:pPr>
              <w:tabs>
                <w:tab w:val="left" w:pos="1560"/>
              </w:tabs>
              <w:jc w:val="center"/>
              <w:rPr>
                <w:color w:val="000000" w:themeColor="text1"/>
                <w:sz w:val="24"/>
                <w:szCs w:val="24"/>
              </w:rPr>
            </w:pPr>
            <w:r w:rsidRPr="00FD73B1">
              <w:rPr>
                <w:color w:val="000000" w:themeColor="text1"/>
                <w:sz w:val="24"/>
                <w:szCs w:val="24"/>
              </w:rPr>
              <w:t>42,08</w:t>
            </w:r>
          </w:p>
        </w:tc>
        <w:tc>
          <w:tcPr>
            <w:tcW w:w="903" w:type="dxa"/>
            <w:vMerge/>
            <w:tcBorders>
              <w:top w:val="nil"/>
              <w:bottom w:val="nil"/>
            </w:tcBorders>
            <w:vAlign w:val="center"/>
          </w:tcPr>
          <w:p w:rsidR="00E8573C" w:rsidRPr="00FD73B1" w:rsidRDefault="00E8573C" w:rsidP="004956F9">
            <w:pPr>
              <w:pStyle w:val="BodyText"/>
              <w:spacing w:after="0"/>
              <w:jc w:val="center"/>
              <w:rPr>
                <w:color w:val="000000" w:themeColor="text1"/>
              </w:rPr>
            </w:pPr>
          </w:p>
        </w:tc>
        <w:tc>
          <w:tcPr>
            <w:tcW w:w="1212" w:type="dxa"/>
            <w:vMerge/>
            <w:tcBorders>
              <w:top w:val="nil"/>
              <w:bottom w:val="nil"/>
            </w:tcBorders>
            <w:vAlign w:val="center"/>
          </w:tcPr>
          <w:p w:rsidR="00E8573C" w:rsidRPr="00FD73B1" w:rsidRDefault="00E8573C" w:rsidP="004956F9">
            <w:pPr>
              <w:pStyle w:val="BodyText"/>
              <w:spacing w:after="0"/>
              <w:jc w:val="center"/>
              <w:rPr>
                <w:color w:val="000000" w:themeColor="text1"/>
              </w:rPr>
            </w:pPr>
          </w:p>
        </w:tc>
        <w:tc>
          <w:tcPr>
            <w:tcW w:w="1447" w:type="dxa"/>
            <w:vMerge/>
            <w:tcBorders>
              <w:top w:val="nil"/>
              <w:bottom w:val="nil"/>
            </w:tcBorders>
            <w:vAlign w:val="center"/>
          </w:tcPr>
          <w:p w:rsidR="00E8573C" w:rsidRPr="00FD73B1" w:rsidRDefault="00E8573C" w:rsidP="004956F9">
            <w:pPr>
              <w:pStyle w:val="BodyText"/>
              <w:spacing w:after="0"/>
              <w:jc w:val="center"/>
              <w:rPr>
                <w:color w:val="000000" w:themeColor="text1"/>
              </w:rPr>
            </w:pPr>
          </w:p>
        </w:tc>
      </w:tr>
      <w:tr w:rsidR="00E8573C" w:rsidRPr="00FD73B1" w:rsidTr="004956F9">
        <w:trPr>
          <w:trHeight w:val="412"/>
        </w:trPr>
        <w:tc>
          <w:tcPr>
            <w:tcW w:w="2003" w:type="dxa"/>
            <w:tcBorders>
              <w:bottom w:val="single" w:sz="4" w:space="0" w:color="auto"/>
            </w:tcBorders>
          </w:tcPr>
          <w:p w:rsidR="00E8573C" w:rsidRPr="00FD73B1" w:rsidRDefault="00E8573C" w:rsidP="006C6261">
            <w:pPr>
              <w:pStyle w:val="BodyText"/>
              <w:numPr>
                <w:ilvl w:val="0"/>
                <w:numId w:val="18"/>
              </w:numPr>
              <w:spacing w:after="0"/>
              <w:rPr>
                <w:color w:val="000000" w:themeColor="text1"/>
              </w:rPr>
            </w:pPr>
            <w:r w:rsidRPr="00FD73B1">
              <w:rPr>
                <w:i/>
                <w:color w:val="000000" w:themeColor="text1"/>
              </w:rPr>
              <w:lastRenderedPageBreak/>
              <w:t>Post</w:t>
            </w:r>
            <w:r>
              <w:rPr>
                <w:i/>
                <w:color w:val="000000" w:themeColor="text1"/>
              </w:rPr>
              <w:t>-t</w:t>
            </w:r>
            <w:r w:rsidRPr="00FD73B1">
              <w:rPr>
                <w:i/>
                <w:color w:val="000000" w:themeColor="text1"/>
              </w:rPr>
              <w:t>est</w:t>
            </w:r>
            <w:r w:rsidRPr="00FD73B1">
              <w:rPr>
                <w:color w:val="000000" w:themeColor="text1"/>
              </w:rPr>
              <w:t xml:space="preserve"> </w:t>
            </w:r>
          </w:p>
        </w:tc>
        <w:tc>
          <w:tcPr>
            <w:tcW w:w="1307" w:type="dxa"/>
            <w:tcBorders>
              <w:top w:val="nil"/>
              <w:bottom w:val="single" w:sz="4" w:space="0" w:color="auto"/>
            </w:tcBorders>
            <w:vAlign w:val="center"/>
          </w:tcPr>
          <w:p w:rsidR="00E8573C" w:rsidRPr="00FD73B1" w:rsidRDefault="00E8573C" w:rsidP="004956F9">
            <w:pPr>
              <w:tabs>
                <w:tab w:val="left" w:pos="1560"/>
              </w:tabs>
              <w:jc w:val="center"/>
              <w:rPr>
                <w:color w:val="000000" w:themeColor="text1"/>
                <w:sz w:val="24"/>
                <w:szCs w:val="24"/>
              </w:rPr>
            </w:pPr>
            <w:r w:rsidRPr="00FD73B1">
              <w:rPr>
                <w:color w:val="000000" w:themeColor="text1"/>
                <w:sz w:val="24"/>
                <w:szCs w:val="24"/>
              </w:rPr>
              <w:t>48,13</w:t>
            </w:r>
          </w:p>
        </w:tc>
        <w:tc>
          <w:tcPr>
            <w:tcW w:w="903" w:type="dxa"/>
            <w:vMerge/>
            <w:tcBorders>
              <w:top w:val="nil"/>
              <w:bottom w:val="single" w:sz="4" w:space="0" w:color="auto"/>
            </w:tcBorders>
          </w:tcPr>
          <w:p w:rsidR="00E8573C" w:rsidRPr="00FD73B1" w:rsidRDefault="00E8573C" w:rsidP="004956F9">
            <w:pPr>
              <w:pStyle w:val="BodyText"/>
              <w:spacing w:after="0"/>
              <w:jc w:val="center"/>
              <w:rPr>
                <w:color w:val="000000" w:themeColor="text1"/>
              </w:rPr>
            </w:pPr>
          </w:p>
        </w:tc>
        <w:tc>
          <w:tcPr>
            <w:tcW w:w="1212" w:type="dxa"/>
            <w:vMerge/>
            <w:tcBorders>
              <w:top w:val="nil"/>
              <w:bottom w:val="single" w:sz="4" w:space="0" w:color="auto"/>
            </w:tcBorders>
          </w:tcPr>
          <w:p w:rsidR="00E8573C" w:rsidRPr="00FD73B1" w:rsidRDefault="00E8573C" w:rsidP="004956F9">
            <w:pPr>
              <w:pStyle w:val="BodyText"/>
              <w:spacing w:after="0"/>
              <w:jc w:val="center"/>
              <w:rPr>
                <w:color w:val="000000" w:themeColor="text1"/>
              </w:rPr>
            </w:pPr>
          </w:p>
        </w:tc>
        <w:tc>
          <w:tcPr>
            <w:tcW w:w="1447" w:type="dxa"/>
            <w:vMerge/>
            <w:tcBorders>
              <w:top w:val="nil"/>
              <w:bottom w:val="single" w:sz="4" w:space="0" w:color="auto"/>
            </w:tcBorders>
          </w:tcPr>
          <w:p w:rsidR="00E8573C" w:rsidRPr="00FD73B1" w:rsidRDefault="00E8573C" w:rsidP="004956F9">
            <w:pPr>
              <w:pStyle w:val="BodyText"/>
              <w:spacing w:after="0"/>
              <w:jc w:val="center"/>
              <w:rPr>
                <w:color w:val="000000" w:themeColor="text1"/>
              </w:rPr>
            </w:pPr>
          </w:p>
        </w:tc>
      </w:tr>
      <w:tr w:rsidR="00E8573C" w:rsidRPr="00FD73B1" w:rsidTr="004956F9">
        <w:trPr>
          <w:trHeight w:val="412"/>
        </w:trPr>
        <w:tc>
          <w:tcPr>
            <w:tcW w:w="2003" w:type="dxa"/>
            <w:tcBorders>
              <w:top w:val="single" w:sz="4" w:space="0" w:color="auto"/>
              <w:bottom w:val="nil"/>
            </w:tcBorders>
          </w:tcPr>
          <w:p w:rsidR="00E8573C" w:rsidRPr="008E7905" w:rsidRDefault="00E8573C" w:rsidP="004956F9">
            <w:pPr>
              <w:pStyle w:val="BodyText"/>
              <w:spacing w:after="0"/>
              <w:rPr>
                <w:color w:val="000000" w:themeColor="text1"/>
              </w:rPr>
            </w:pPr>
            <w:r>
              <w:rPr>
                <w:color w:val="000000" w:themeColor="text1"/>
              </w:rPr>
              <w:t>Attitude</w:t>
            </w:r>
          </w:p>
        </w:tc>
        <w:tc>
          <w:tcPr>
            <w:tcW w:w="1307" w:type="dxa"/>
            <w:tcBorders>
              <w:top w:val="single" w:sz="4" w:space="0" w:color="auto"/>
              <w:bottom w:val="nil"/>
            </w:tcBorders>
            <w:vAlign w:val="center"/>
          </w:tcPr>
          <w:p w:rsidR="00E8573C" w:rsidRPr="00FD73B1" w:rsidRDefault="00E8573C" w:rsidP="004956F9">
            <w:pPr>
              <w:tabs>
                <w:tab w:val="left" w:pos="1560"/>
              </w:tabs>
              <w:jc w:val="center"/>
              <w:rPr>
                <w:color w:val="000000" w:themeColor="text1"/>
                <w:sz w:val="24"/>
                <w:szCs w:val="24"/>
              </w:rPr>
            </w:pPr>
          </w:p>
        </w:tc>
        <w:tc>
          <w:tcPr>
            <w:tcW w:w="903" w:type="dxa"/>
            <w:vMerge w:val="restart"/>
            <w:tcBorders>
              <w:top w:val="single" w:sz="4" w:space="0" w:color="auto"/>
              <w:bottom w:val="nil"/>
            </w:tcBorders>
            <w:vAlign w:val="center"/>
          </w:tcPr>
          <w:p w:rsidR="00E8573C" w:rsidRPr="00FD73B1" w:rsidRDefault="00E8573C" w:rsidP="004956F9">
            <w:pPr>
              <w:pStyle w:val="BodyText"/>
              <w:spacing w:after="0"/>
              <w:jc w:val="center"/>
              <w:rPr>
                <w:color w:val="000000" w:themeColor="text1"/>
              </w:rPr>
            </w:pPr>
            <w:r w:rsidRPr="00FD73B1">
              <w:rPr>
                <w:color w:val="000000" w:themeColor="text1"/>
              </w:rPr>
              <w:t>0,010</w:t>
            </w:r>
          </w:p>
        </w:tc>
        <w:tc>
          <w:tcPr>
            <w:tcW w:w="1212" w:type="dxa"/>
            <w:vMerge w:val="restart"/>
            <w:tcBorders>
              <w:top w:val="single" w:sz="4" w:space="0" w:color="auto"/>
              <w:bottom w:val="nil"/>
            </w:tcBorders>
            <w:vAlign w:val="center"/>
          </w:tcPr>
          <w:p w:rsidR="00E8573C" w:rsidRPr="00FD73B1" w:rsidRDefault="00E8573C" w:rsidP="004956F9">
            <w:pPr>
              <w:pStyle w:val="BodyText"/>
              <w:spacing w:after="0"/>
              <w:jc w:val="center"/>
              <w:rPr>
                <w:color w:val="000000" w:themeColor="text1"/>
              </w:rPr>
            </w:pPr>
            <w:r w:rsidRPr="00FD73B1">
              <w:rPr>
                <w:color w:val="000000" w:themeColor="text1"/>
              </w:rPr>
              <w:t>2,590</w:t>
            </w:r>
          </w:p>
        </w:tc>
        <w:tc>
          <w:tcPr>
            <w:tcW w:w="1447" w:type="dxa"/>
            <w:vMerge w:val="restart"/>
            <w:tcBorders>
              <w:top w:val="single" w:sz="4" w:space="0" w:color="auto"/>
              <w:bottom w:val="nil"/>
            </w:tcBorders>
            <w:vAlign w:val="center"/>
          </w:tcPr>
          <w:p w:rsidR="00E8573C" w:rsidRPr="00FD73B1" w:rsidRDefault="00E8573C" w:rsidP="004956F9">
            <w:pPr>
              <w:pStyle w:val="BodyText"/>
              <w:spacing w:after="0"/>
              <w:jc w:val="center"/>
              <w:rPr>
                <w:color w:val="000000" w:themeColor="text1"/>
              </w:rPr>
            </w:pPr>
            <w:r>
              <w:rPr>
                <w:color w:val="000000" w:themeColor="text1"/>
              </w:rPr>
              <w:t>Significant</w:t>
            </w:r>
          </w:p>
        </w:tc>
      </w:tr>
      <w:tr w:rsidR="00E8573C" w:rsidRPr="00FD73B1" w:rsidTr="004956F9">
        <w:trPr>
          <w:trHeight w:val="412"/>
        </w:trPr>
        <w:tc>
          <w:tcPr>
            <w:tcW w:w="2003" w:type="dxa"/>
            <w:tcBorders>
              <w:top w:val="nil"/>
              <w:bottom w:val="nil"/>
            </w:tcBorders>
          </w:tcPr>
          <w:p w:rsidR="00E8573C" w:rsidRPr="00FD73B1" w:rsidRDefault="00E8573C" w:rsidP="006C6261">
            <w:pPr>
              <w:pStyle w:val="BodyText"/>
              <w:numPr>
                <w:ilvl w:val="0"/>
                <w:numId w:val="19"/>
              </w:numPr>
              <w:spacing w:after="0"/>
              <w:rPr>
                <w:color w:val="000000" w:themeColor="text1"/>
              </w:rPr>
            </w:pPr>
            <w:r w:rsidRPr="00FD73B1">
              <w:rPr>
                <w:i/>
                <w:color w:val="000000" w:themeColor="text1"/>
              </w:rPr>
              <w:t>Pre</w:t>
            </w:r>
            <w:r>
              <w:rPr>
                <w:i/>
                <w:color w:val="000000" w:themeColor="text1"/>
              </w:rPr>
              <w:t>-</w:t>
            </w:r>
            <w:r w:rsidRPr="00FD73B1">
              <w:rPr>
                <w:i/>
                <w:color w:val="000000" w:themeColor="text1"/>
              </w:rPr>
              <w:t>test</w:t>
            </w:r>
            <w:r w:rsidRPr="00FD73B1">
              <w:rPr>
                <w:color w:val="000000" w:themeColor="text1"/>
              </w:rPr>
              <w:t xml:space="preserve"> </w:t>
            </w:r>
          </w:p>
        </w:tc>
        <w:tc>
          <w:tcPr>
            <w:tcW w:w="1307" w:type="dxa"/>
            <w:tcBorders>
              <w:top w:val="nil"/>
              <w:bottom w:val="nil"/>
            </w:tcBorders>
            <w:vAlign w:val="center"/>
          </w:tcPr>
          <w:p w:rsidR="00E8573C" w:rsidRPr="00FD73B1" w:rsidRDefault="00E8573C" w:rsidP="004956F9">
            <w:pPr>
              <w:tabs>
                <w:tab w:val="left" w:pos="1560"/>
              </w:tabs>
              <w:jc w:val="center"/>
              <w:rPr>
                <w:color w:val="000000" w:themeColor="text1"/>
                <w:sz w:val="24"/>
                <w:szCs w:val="24"/>
              </w:rPr>
            </w:pPr>
            <w:r w:rsidRPr="00FD73B1">
              <w:rPr>
                <w:color w:val="000000" w:themeColor="text1"/>
                <w:sz w:val="24"/>
                <w:szCs w:val="24"/>
              </w:rPr>
              <w:t>51,76</w:t>
            </w:r>
          </w:p>
        </w:tc>
        <w:tc>
          <w:tcPr>
            <w:tcW w:w="903" w:type="dxa"/>
            <w:vMerge/>
            <w:tcBorders>
              <w:top w:val="nil"/>
            </w:tcBorders>
          </w:tcPr>
          <w:p w:rsidR="00E8573C" w:rsidRPr="00FD73B1" w:rsidRDefault="00E8573C" w:rsidP="004956F9">
            <w:pPr>
              <w:pStyle w:val="BodyText"/>
              <w:spacing w:after="0"/>
              <w:jc w:val="center"/>
              <w:rPr>
                <w:color w:val="000000" w:themeColor="text1"/>
              </w:rPr>
            </w:pPr>
          </w:p>
        </w:tc>
        <w:tc>
          <w:tcPr>
            <w:tcW w:w="1212" w:type="dxa"/>
            <w:vMerge/>
            <w:tcBorders>
              <w:top w:val="nil"/>
            </w:tcBorders>
          </w:tcPr>
          <w:p w:rsidR="00E8573C" w:rsidRPr="00FD73B1" w:rsidRDefault="00E8573C" w:rsidP="004956F9">
            <w:pPr>
              <w:pStyle w:val="BodyText"/>
              <w:spacing w:after="0"/>
              <w:jc w:val="center"/>
              <w:rPr>
                <w:color w:val="000000" w:themeColor="text1"/>
              </w:rPr>
            </w:pPr>
          </w:p>
        </w:tc>
        <w:tc>
          <w:tcPr>
            <w:tcW w:w="1447" w:type="dxa"/>
            <w:vMerge/>
            <w:tcBorders>
              <w:top w:val="nil"/>
            </w:tcBorders>
          </w:tcPr>
          <w:p w:rsidR="00E8573C" w:rsidRPr="00FD73B1" w:rsidRDefault="00E8573C" w:rsidP="004956F9">
            <w:pPr>
              <w:pStyle w:val="BodyText"/>
              <w:spacing w:after="0"/>
              <w:jc w:val="center"/>
              <w:rPr>
                <w:color w:val="000000" w:themeColor="text1"/>
              </w:rPr>
            </w:pPr>
          </w:p>
        </w:tc>
      </w:tr>
      <w:tr w:rsidR="00E8573C" w:rsidRPr="00FD73B1" w:rsidTr="004956F9">
        <w:trPr>
          <w:trHeight w:val="412"/>
        </w:trPr>
        <w:tc>
          <w:tcPr>
            <w:tcW w:w="2003" w:type="dxa"/>
            <w:tcBorders>
              <w:top w:val="nil"/>
              <w:bottom w:val="single" w:sz="4" w:space="0" w:color="auto"/>
            </w:tcBorders>
          </w:tcPr>
          <w:p w:rsidR="00E8573C" w:rsidRPr="00FD73B1" w:rsidRDefault="00E8573C" w:rsidP="006C6261">
            <w:pPr>
              <w:pStyle w:val="BodyText"/>
              <w:numPr>
                <w:ilvl w:val="0"/>
                <w:numId w:val="19"/>
              </w:numPr>
              <w:spacing w:after="0"/>
              <w:rPr>
                <w:color w:val="000000" w:themeColor="text1"/>
              </w:rPr>
            </w:pPr>
            <w:r w:rsidRPr="00FD73B1">
              <w:rPr>
                <w:i/>
                <w:color w:val="000000" w:themeColor="text1"/>
              </w:rPr>
              <w:t>Post</w:t>
            </w:r>
            <w:r>
              <w:rPr>
                <w:i/>
                <w:color w:val="000000" w:themeColor="text1"/>
              </w:rPr>
              <w:t>-t</w:t>
            </w:r>
            <w:r w:rsidRPr="00FD73B1">
              <w:rPr>
                <w:i/>
                <w:color w:val="000000" w:themeColor="text1"/>
              </w:rPr>
              <w:t>est</w:t>
            </w:r>
            <w:r w:rsidRPr="00FD73B1">
              <w:rPr>
                <w:color w:val="000000" w:themeColor="text1"/>
              </w:rPr>
              <w:t xml:space="preserve"> </w:t>
            </w:r>
          </w:p>
        </w:tc>
        <w:tc>
          <w:tcPr>
            <w:tcW w:w="1307" w:type="dxa"/>
            <w:tcBorders>
              <w:top w:val="nil"/>
              <w:bottom w:val="single" w:sz="4" w:space="0" w:color="auto"/>
            </w:tcBorders>
            <w:vAlign w:val="center"/>
          </w:tcPr>
          <w:p w:rsidR="00E8573C" w:rsidRPr="00FD73B1" w:rsidRDefault="00E8573C" w:rsidP="004956F9">
            <w:pPr>
              <w:tabs>
                <w:tab w:val="left" w:pos="1560"/>
              </w:tabs>
              <w:jc w:val="center"/>
              <w:rPr>
                <w:color w:val="000000" w:themeColor="text1"/>
                <w:sz w:val="24"/>
                <w:szCs w:val="24"/>
              </w:rPr>
            </w:pPr>
            <w:r w:rsidRPr="00FD73B1">
              <w:rPr>
                <w:color w:val="000000" w:themeColor="text1"/>
                <w:sz w:val="24"/>
                <w:szCs w:val="24"/>
              </w:rPr>
              <w:t>39,03</w:t>
            </w:r>
          </w:p>
        </w:tc>
        <w:tc>
          <w:tcPr>
            <w:tcW w:w="903" w:type="dxa"/>
            <w:vMerge/>
            <w:tcBorders>
              <w:bottom w:val="single" w:sz="4" w:space="0" w:color="auto"/>
            </w:tcBorders>
          </w:tcPr>
          <w:p w:rsidR="00E8573C" w:rsidRPr="00FD73B1" w:rsidRDefault="00E8573C" w:rsidP="004956F9">
            <w:pPr>
              <w:pStyle w:val="BodyText"/>
              <w:spacing w:after="0"/>
              <w:jc w:val="center"/>
              <w:rPr>
                <w:color w:val="000000" w:themeColor="text1"/>
              </w:rPr>
            </w:pPr>
          </w:p>
        </w:tc>
        <w:tc>
          <w:tcPr>
            <w:tcW w:w="1212" w:type="dxa"/>
            <w:vMerge/>
            <w:tcBorders>
              <w:bottom w:val="single" w:sz="4" w:space="0" w:color="auto"/>
            </w:tcBorders>
          </w:tcPr>
          <w:p w:rsidR="00E8573C" w:rsidRPr="00FD73B1" w:rsidRDefault="00E8573C" w:rsidP="004956F9">
            <w:pPr>
              <w:pStyle w:val="BodyText"/>
              <w:spacing w:after="0"/>
              <w:jc w:val="center"/>
              <w:rPr>
                <w:color w:val="000000" w:themeColor="text1"/>
              </w:rPr>
            </w:pPr>
          </w:p>
        </w:tc>
        <w:tc>
          <w:tcPr>
            <w:tcW w:w="1447" w:type="dxa"/>
            <w:vMerge/>
            <w:tcBorders>
              <w:bottom w:val="single" w:sz="4" w:space="0" w:color="auto"/>
            </w:tcBorders>
          </w:tcPr>
          <w:p w:rsidR="00E8573C" w:rsidRPr="00FD73B1" w:rsidRDefault="00E8573C" w:rsidP="004956F9">
            <w:pPr>
              <w:pStyle w:val="BodyText"/>
              <w:spacing w:after="0"/>
              <w:jc w:val="center"/>
              <w:rPr>
                <w:color w:val="000000" w:themeColor="text1"/>
              </w:rPr>
            </w:pPr>
          </w:p>
        </w:tc>
      </w:tr>
    </w:tbl>
    <w:p w:rsidR="009A1E3A" w:rsidRPr="00F0005F" w:rsidRDefault="009A1E3A" w:rsidP="009A1E3A">
      <w:pPr>
        <w:jc w:val="both"/>
        <w:rPr>
          <w:sz w:val="24"/>
          <w:szCs w:val="24"/>
        </w:rPr>
      </w:pPr>
    </w:p>
    <w:p w:rsidR="009A1E3A" w:rsidRDefault="009A1E3A" w:rsidP="009A1E3A">
      <w:pPr>
        <w:pStyle w:val="ListParagraph"/>
        <w:spacing w:after="0" w:line="240" w:lineRule="auto"/>
        <w:ind w:left="0" w:firstLine="720"/>
        <w:jc w:val="both"/>
        <w:rPr>
          <w:rFonts w:ascii="Times New Roman" w:hAnsi="Times New Roman"/>
          <w:sz w:val="24"/>
          <w:szCs w:val="24"/>
        </w:rPr>
      </w:pPr>
    </w:p>
    <w:p w:rsidR="00E8573C" w:rsidRDefault="00E8573C" w:rsidP="009A1E3A">
      <w:pPr>
        <w:pStyle w:val="ListParagraph"/>
        <w:spacing w:after="0" w:line="240" w:lineRule="auto"/>
        <w:ind w:left="0" w:firstLine="720"/>
        <w:jc w:val="both"/>
        <w:rPr>
          <w:rFonts w:ascii="Times New Roman" w:hAnsi="Times New Roman"/>
          <w:sz w:val="24"/>
          <w:szCs w:val="24"/>
        </w:rPr>
      </w:pPr>
    </w:p>
    <w:p w:rsidR="00E8573C" w:rsidRDefault="00E8573C" w:rsidP="009A1E3A">
      <w:pPr>
        <w:pStyle w:val="ListParagraph"/>
        <w:spacing w:after="0" w:line="240" w:lineRule="auto"/>
        <w:ind w:left="0" w:firstLine="720"/>
        <w:jc w:val="both"/>
        <w:rPr>
          <w:rFonts w:ascii="Times New Roman" w:hAnsi="Times New Roman"/>
          <w:sz w:val="24"/>
          <w:szCs w:val="24"/>
        </w:rPr>
      </w:pPr>
    </w:p>
    <w:p w:rsidR="00E8573C" w:rsidRDefault="00E8573C" w:rsidP="009A1E3A">
      <w:pPr>
        <w:pStyle w:val="ListParagraph"/>
        <w:spacing w:after="0" w:line="240" w:lineRule="auto"/>
        <w:ind w:left="0" w:firstLine="720"/>
        <w:jc w:val="both"/>
        <w:rPr>
          <w:rFonts w:ascii="Times New Roman" w:hAnsi="Times New Roman"/>
          <w:sz w:val="24"/>
          <w:szCs w:val="24"/>
        </w:rPr>
      </w:pPr>
    </w:p>
    <w:p w:rsidR="00E8573C" w:rsidRDefault="00E8573C" w:rsidP="009A1E3A">
      <w:pPr>
        <w:pStyle w:val="ListParagraph"/>
        <w:spacing w:after="0" w:line="240" w:lineRule="auto"/>
        <w:ind w:left="0" w:firstLine="720"/>
        <w:jc w:val="both"/>
        <w:rPr>
          <w:rFonts w:ascii="Times New Roman" w:hAnsi="Times New Roman"/>
          <w:sz w:val="24"/>
          <w:szCs w:val="24"/>
        </w:rPr>
      </w:pPr>
    </w:p>
    <w:p w:rsidR="00E8573C" w:rsidRDefault="00E8573C" w:rsidP="009A1E3A">
      <w:pPr>
        <w:pStyle w:val="ListParagraph"/>
        <w:spacing w:after="0" w:line="240" w:lineRule="auto"/>
        <w:ind w:left="0" w:firstLine="720"/>
        <w:jc w:val="both"/>
        <w:rPr>
          <w:rFonts w:ascii="Times New Roman" w:hAnsi="Times New Roman"/>
          <w:sz w:val="24"/>
          <w:szCs w:val="24"/>
        </w:rPr>
      </w:pPr>
    </w:p>
    <w:p w:rsidR="00E8573C" w:rsidRDefault="00E8573C" w:rsidP="009A1E3A">
      <w:pPr>
        <w:pStyle w:val="ListParagraph"/>
        <w:spacing w:after="0" w:line="240" w:lineRule="auto"/>
        <w:ind w:left="0" w:firstLine="720"/>
        <w:jc w:val="both"/>
        <w:rPr>
          <w:rFonts w:ascii="Times New Roman" w:hAnsi="Times New Roman"/>
          <w:sz w:val="24"/>
          <w:szCs w:val="24"/>
        </w:rPr>
      </w:pPr>
    </w:p>
    <w:p w:rsidR="00E8573C" w:rsidRDefault="00E8573C" w:rsidP="009A1E3A">
      <w:pPr>
        <w:pStyle w:val="ListParagraph"/>
        <w:spacing w:after="0" w:line="240" w:lineRule="auto"/>
        <w:ind w:left="0" w:firstLine="720"/>
        <w:jc w:val="both"/>
        <w:rPr>
          <w:rFonts w:ascii="Times New Roman" w:hAnsi="Times New Roman"/>
          <w:sz w:val="24"/>
          <w:szCs w:val="24"/>
        </w:rPr>
      </w:pPr>
    </w:p>
    <w:p w:rsidR="00E8573C" w:rsidRDefault="00E8573C" w:rsidP="009A1E3A">
      <w:pPr>
        <w:pStyle w:val="ListParagraph"/>
        <w:spacing w:after="0" w:line="240" w:lineRule="auto"/>
        <w:ind w:left="0" w:firstLine="720"/>
        <w:jc w:val="both"/>
        <w:rPr>
          <w:rFonts w:ascii="Times New Roman" w:hAnsi="Times New Roman"/>
          <w:sz w:val="24"/>
          <w:szCs w:val="24"/>
        </w:rPr>
      </w:pPr>
    </w:p>
    <w:p w:rsidR="00E8573C" w:rsidRDefault="00E8573C" w:rsidP="009A1E3A">
      <w:pPr>
        <w:pStyle w:val="ListParagraph"/>
        <w:spacing w:after="0" w:line="240" w:lineRule="auto"/>
        <w:ind w:left="0" w:firstLine="720"/>
        <w:jc w:val="both"/>
        <w:rPr>
          <w:rFonts w:ascii="Times New Roman" w:hAnsi="Times New Roman"/>
          <w:sz w:val="24"/>
          <w:szCs w:val="24"/>
        </w:rPr>
      </w:pPr>
    </w:p>
    <w:p w:rsidR="00E8573C" w:rsidRDefault="00E8573C" w:rsidP="009A1E3A">
      <w:pPr>
        <w:pStyle w:val="ListParagraph"/>
        <w:spacing w:after="0" w:line="240" w:lineRule="auto"/>
        <w:ind w:left="0" w:firstLine="720"/>
        <w:jc w:val="both"/>
        <w:rPr>
          <w:rFonts w:ascii="Times New Roman" w:hAnsi="Times New Roman"/>
          <w:sz w:val="24"/>
          <w:szCs w:val="24"/>
        </w:rPr>
      </w:pPr>
    </w:p>
    <w:p w:rsidR="009A1E3A" w:rsidRDefault="009A1E3A" w:rsidP="00E8573C">
      <w:pPr>
        <w:pStyle w:val="ListParagraph"/>
        <w:spacing w:after="0" w:line="240" w:lineRule="auto"/>
        <w:ind w:left="0"/>
        <w:jc w:val="both"/>
        <w:rPr>
          <w:rFonts w:ascii="Times New Roman" w:hAnsi="Times New Roman"/>
          <w:sz w:val="24"/>
          <w:szCs w:val="24"/>
        </w:rPr>
      </w:pPr>
    </w:p>
    <w:p w:rsidR="00E8573C" w:rsidRPr="00F21586" w:rsidRDefault="00E8573C" w:rsidP="00E8573C">
      <w:pPr>
        <w:pStyle w:val="ListParagraph"/>
        <w:spacing w:after="0" w:line="240" w:lineRule="auto"/>
        <w:ind w:left="0"/>
        <w:jc w:val="both"/>
        <w:rPr>
          <w:rFonts w:ascii="Times New Roman" w:hAnsi="Times New Roman"/>
          <w:b/>
          <w:color w:val="000000" w:themeColor="text1"/>
          <w:sz w:val="20"/>
          <w:szCs w:val="20"/>
        </w:rPr>
      </w:pPr>
      <w:r w:rsidRPr="00F21586">
        <w:rPr>
          <w:rFonts w:ascii="Times New Roman" w:hAnsi="Times New Roman"/>
          <w:b/>
          <w:color w:val="000000" w:themeColor="text1"/>
          <w:sz w:val="20"/>
          <w:szCs w:val="20"/>
        </w:rPr>
        <w:t>DISCUSSION</w:t>
      </w:r>
    </w:p>
    <w:p w:rsidR="00E8573C" w:rsidRPr="00F21586" w:rsidRDefault="00E8573C" w:rsidP="006C6261">
      <w:pPr>
        <w:pStyle w:val="ListParagraph"/>
        <w:numPr>
          <w:ilvl w:val="0"/>
          <w:numId w:val="20"/>
        </w:numPr>
        <w:spacing w:after="0" w:line="240" w:lineRule="auto"/>
        <w:ind w:left="284" w:hanging="284"/>
        <w:jc w:val="both"/>
        <w:rPr>
          <w:rFonts w:ascii="Times New Roman" w:hAnsi="Times New Roman"/>
          <w:b/>
          <w:color w:val="000000" w:themeColor="text1"/>
          <w:sz w:val="20"/>
          <w:szCs w:val="20"/>
        </w:rPr>
      </w:pPr>
      <w:r w:rsidRPr="00F21586">
        <w:rPr>
          <w:rFonts w:ascii="Times New Roman" w:hAnsi="Times New Roman"/>
          <w:b/>
          <w:color w:val="000000" w:themeColor="text1"/>
          <w:sz w:val="20"/>
          <w:szCs w:val="20"/>
        </w:rPr>
        <w:t xml:space="preserve">Level of knowledge about risky pregnancy before and after health education is given at SMK </w:t>
      </w:r>
      <w:proofErr w:type="spellStart"/>
      <w:r w:rsidRPr="00F21586">
        <w:rPr>
          <w:rFonts w:ascii="Times New Roman" w:hAnsi="Times New Roman"/>
          <w:b/>
          <w:color w:val="000000" w:themeColor="text1"/>
          <w:sz w:val="20"/>
          <w:szCs w:val="20"/>
        </w:rPr>
        <w:t>Muhammadiyah</w:t>
      </w:r>
      <w:proofErr w:type="spellEnd"/>
      <w:r w:rsidRPr="00F21586">
        <w:rPr>
          <w:rFonts w:ascii="Times New Roman" w:hAnsi="Times New Roman"/>
          <w:b/>
          <w:color w:val="000000" w:themeColor="text1"/>
          <w:sz w:val="20"/>
          <w:szCs w:val="20"/>
        </w:rPr>
        <w:t xml:space="preserve"> 1 </w:t>
      </w:r>
      <w:proofErr w:type="spellStart"/>
      <w:r w:rsidRPr="00F21586">
        <w:rPr>
          <w:rFonts w:ascii="Times New Roman" w:hAnsi="Times New Roman"/>
          <w:b/>
          <w:color w:val="000000" w:themeColor="text1"/>
          <w:sz w:val="20"/>
          <w:szCs w:val="20"/>
        </w:rPr>
        <w:t>Wonosobo</w:t>
      </w:r>
      <w:proofErr w:type="spellEnd"/>
    </w:p>
    <w:p w:rsidR="00E8573C" w:rsidRPr="00F21586" w:rsidRDefault="00E8573C" w:rsidP="00E8573C">
      <w:pPr>
        <w:pStyle w:val="ListParagraph"/>
        <w:spacing w:after="0" w:line="240" w:lineRule="auto"/>
        <w:ind w:left="284"/>
        <w:jc w:val="both"/>
        <w:rPr>
          <w:rFonts w:ascii="Times New Roman" w:hAnsi="Times New Roman"/>
          <w:b/>
          <w:color w:val="000000" w:themeColor="text1"/>
          <w:sz w:val="20"/>
          <w:szCs w:val="20"/>
        </w:rPr>
      </w:pPr>
      <w:r w:rsidRPr="00F21586">
        <w:rPr>
          <w:rFonts w:ascii="Times New Roman" w:hAnsi="Times New Roman"/>
          <w:b/>
          <w:color w:val="000000" w:themeColor="text1"/>
          <w:sz w:val="20"/>
          <w:szCs w:val="20"/>
        </w:rPr>
        <w:tab/>
      </w:r>
      <w:r w:rsidRPr="00F21586">
        <w:rPr>
          <w:rFonts w:ascii="Times New Roman" w:hAnsi="Times New Roman"/>
          <w:color w:val="000000" w:themeColor="text1"/>
          <w:sz w:val="20"/>
          <w:szCs w:val="20"/>
        </w:rPr>
        <w:t xml:space="preserve">The results of the study before </w:t>
      </w:r>
      <w:proofErr w:type="spellStart"/>
      <w:r w:rsidRPr="00F21586">
        <w:rPr>
          <w:rFonts w:ascii="Times New Roman" w:hAnsi="Times New Roman"/>
          <w:color w:val="000000" w:themeColor="text1"/>
          <w:sz w:val="20"/>
          <w:szCs w:val="20"/>
        </w:rPr>
        <w:t>counseling</w:t>
      </w:r>
      <w:proofErr w:type="spellEnd"/>
      <w:r w:rsidRPr="00F21586">
        <w:rPr>
          <w:rFonts w:ascii="Times New Roman" w:hAnsi="Times New Roman"/>
          <w:color w:val="000000" w:themeColor="text1"/>
          <w:sz w:val="20"/>
          <w:szCs w:val="20"/>
        </w:rPr>
        <w:t xml:space="preserve"> showed that respondents who had knowledge in the good category were 77 people (71.3%), and after </w:t>
      </w:r>
      <w:proofErr w:type="spellStart"/>
      <w:r w:rsidRPr="00F21586">
        <w:rPr>
          <w:rFonts w:ascii="Times New Roman" w:hAnsi="Times New Roman"/>
          <w:color w:val="000000" w:themeColor="text1"/>
          <w:sz w:val="20"/>
          <w:szCs w:val="20"/>
        </w:rPr>
        <w:t>counseling</w:t>
      </w:r>
      <w:proofErr w:type="spellEnd"/>
      <w:r w:rsidRPr="00F21586">
        <w:rPr>
          <w:rFonts w:ascii="Times New Roman" w:hAnsi="Times New Roman"/>
          <w:color w:val="000000" w:themeColor="text1"/>
          <w:sz w:val="20"/>
          <w:szCs w:val="20"/>
        </w:rPr>
        <w:t>, the results showed that respondents who had knowledge in the good category were 89 people (82.45%). These results have little difference and prove that most students already have good knowledge of risky pregnancies.</w:t>
      </w:r>
    </w:p>
    <w:p w:rsidR="00E8573C" w:rsidRPr="00F21586" w:rsidRDefault="00E8573C" w:rsidP="00E8573C">
      <w:pPr>
        <w:pStyle w:val="ListParagraph"/>
        <w:spacing w:after="0" w:line="240" w:lineRule="auto"/>
        <w:ind w:left="284"/>
        <w:jc w:val="both"/>
        <w:rPr>
          <w:rFonts w:ascii="Times New Roman" w:hAnsi="Times New Roman"/>
          <w:color w:val="000000" w:themeColor="text1"/>
          <w:sz w:val="20"/>
          <w:szCs w:val="20"/>
        </w:rPr>
      </w:pPr>
      <w:r w:rsidRPr="00F21586">
        <w:rPr>
          <w:rFonts w:ascii="Times New Roman" w:hAnsi="Times New Roman"/>
          <w:b/>
          <w:color w:val="000000" w:themeColor="text1"/>
          <w:sz w:val="20"/>
          <w:szCs w:val="20"/>
        </w:rPr>
        <w:tab/>
      </w:r>
      <w:r w:rsidRPr="00F21586">
        <w:rPr>
          <w:rFonts w:ascii="Times New Roman" w:hAnsi="Times New Roman"/>
          <w:color w:val="000000" w:themeColor="text1"/>
          <w:sz w:val="20"/>
          <w:szCs w:val="20"/>
        </w:rPr>
        <w:t xml:space="preserve">After </w:t>
      </w:r>
      <w:proofErr w:type="spellStart"/>
      <w:r w:rsidRPr="00F21586">
        <w:rPr>
          <w:rFonts w:ascii="Times New Roman" w:hAnsi="Times New Roman"/>
          <w:color w:val="000000" w:themeColor="text1"/>
          <w:sz w:val="20"/>
          <w:szCs w:val="20"/>
        </w:rPr>
        <w:t>counseling</w:t>
      </w:r>
      <w:proofErr w:type="spellEnd"/>
      <w:r w:rsidRPr="00F21586">
        <w:rPr>
          <w:rFonts w:ascii="Times New Roman" w:hAnsi="Times New Roman"/>
          <w:color w:val="000000" w:themeColor="text1"/>
          <w:sz w:val="20"/>
          <w:szCs w:val="20"/>
        </w:rPr>
        <w:t xml:space="preserve">, 2 students at SMK </w:t>
      </w:r>
      <w:proofErr w:type="spellStart"/>
      <w:r w:rsidRPr="00F21586">
        <w:rPr>
          <w:rFonts w:ascii="Times New Roman" w:hAnsi="Times New Roman"/>
          <w:color w:val="000000" w:themeColor="text1"/>
          <w:sz w:val="20"/>
          <w:szCs w:val="20"/>
        </w:rPr>
        <w:t>Muhammadiyah</w:t>
      </w:r>
      <w:proofErr w:type="spellEnd"/>
      <w:r w:rsidRPr="00F21586">
        <w:rPr>
          <w:rFonts w:ascii="Times New Roman" w:hAnsi="Times New Roman"/>
          <w:color w:val="000000" w:themeColor="text1"/>
          <w:sz w:val="20"/>
          <w:szCs w:val="20"/>
        </w:rPr>
        <w:t xml:space="preserve"> 1 </w:t>
      </w:r>
      <w:proofErr w:type="spellStart"/>
      <w:r w:rsidRPr="00F21586">
        <w:rPr>
          <w:rFonts w:ascii="Times New Roman" w:hAnsi="Times New Roman"/>
          <w:color w:val="000000" w:themeColor="text1"/>
          <w:sz w:val="20"/>
          <w:szCs w:val="20"/>
        </w:rPr>
        <w:t>Wonosobo</w:t>
      </w:r>
      <w:proofErr w:type="spellEnd"/>
      <w:r w:rsidRPr="00F21586">
        <w:rPr>
          <w:rFonts w:ascii="Times New Roman" w:hAnsi="Times New Roman"/>
          <w:color w:val="000000" w:themeColor="text1"/>
          <w:sz w:val="20"/>
          <w:szCs w:val="20"/>
        </w:rPr>
        <w:t xml:space="preserve"> (1.9%) had a lack of knowledge about risky pregnancies. Lack of knowledge is influenced by several factors including education, age, environment, socio-culture and this shows that </w:t>
      </w:r>
      <w:proofErr w:type="spellStart"/>
      <w:r w:rsidRPr="00F21586">
        <w:rPr>
          <w:rFonts w:ascii="Times New Roman" w:hAnsi="Times New Roman"/>
          <w:color w:val="000000" w:themeColor="text1"/>
          <w:sz w:val="20"/>
          <w:szCs w:val="20"/>
        </w:rPr>
        <w:t>counseling</w:t>
      </w:r>
      <w:proofErr w:type="spellEnd"/>
      <w:r w:rsidRPr="00F21586">
        <w:rPr>
          <w:rFonts w:ascii="Times New Roman" w:hAnsi="Times New Roman"/>
          <w:color w:val="000000" w:themeColor="text1"/>
          <w:sz w:val="20"/>
          <w:szCs w:val="20"/>
        </w:rPr>
        <w:t xml:space="preserve"> given to students has been done but there are still students who do not have good knowledge about risky pregnancy. This can be caused by the fact that respondents have not been able to understand well the material provided when </w:t>
      </w:r>
      <w:proofErr w:type="spellStart"/>
      <w:r w:rsidRPr="00F21586">
        <w:rPr>
          <w:rFonts w:ascii="Times New Roman" w:hAnsi="Times New Roman"/>
          <w:color w:val="000000" w:themeColor="text1"/>
          <w:sz w:val="20"/>
          <w:szCs w:val="20"/>
        </w:rPr>
        <w:t>counseling</w:t>
      </w:r>
      <w:proofErr w:type="spellEnd"/>
      <w:r w:rsidRPr="00F21586">
        <w:rPr>
          <w:rFonts w:ascii="Times New Roman" w:hAnsi="Times New Roman"/>
          <w:color w:val="000000" w:themeColor="text1"/>
          <w:sz w:val="20"/>
          <w:szCs w:val="20"/>
        </w:rPr>
        <w:t xml:space="preserve"> about these risky pregnancies, so that the knowledge they can receive is </w:t>
      </w:r>
      <w:proofErr w:type="spellStart"/>
      <w:r w:rsidRPr="00F21586">
        <w:rPr>
          <w:rFonts w:ascii="Times New Roman" w:hAnsi="Times New Roman"/>
          <w:color w:val="000000" w:themeColor="text1"/>
          <w:sz w:val="20"/>
          <w:szCs w:val="20"/>
        </w:rPr>
        <w:t>limites</w:t>
      </w:r>
      <w:proofErr w:type="spellEnd"/>
      <w:r w:rsidRPr="00F21586">
        <w:rPr>
          <w:rFonts w:ascii="Times New Roman" w:hAnsi="Times New Roman"/>
          <w:color w:val="000000" w:themeColor="text1"/>
          <w:sz w:val="20"/>
          <w:szCs w:val="20"/>
        </w:rPr>
        <w:t xml:space="preserve">. Research conducted by </w:t>
      </w:r>
      <w:proofErr w:type="spellStart"/>
      <w:r w:rsidRPr="00F21586">
        <w:rPr>
          <w:rFonts w:ascii="Times New Roman" w:hAnsi="Times New Roman"/>
          <w:color w:val="000000" w:themeColor="text1"/>
          <w:sz w:val="20"/>
          <w:szCs w:val="20"/>
        </w:rPr>
        <w:t>Dewi</w:t>
      </w:r>
      <w:proofErr w:type="spellEnd"/>
      <w:r w:rsidRPr="00F21586">
        <w:rPr>
          <w:rFonts w:ascii="Times New Roman" w:hAnsi="Times New Roman"/>
          <w:color w:val="000000" w:themeColor="text1"/>
          <w:sz w:val="20"/>
          <w:szCs w:val="20"/>
        </w:rPr>
        <w:t xml:space="preserve"> showed that the knowledge of adolescent girls about early pregnancy was mostly in the good category of 280 peo</w:t>
      </w:r>
      <w:r w:rsidR="004956F9">
        <w:rPr>
          <w:rFonts w:ascii="Times New Roman" w:hAnsi="Times New Roman"/>
          <w:color w:val="000000" w:themeColor="text1"/>
          <w:sz w:val="20"/>
          <w:szCs w:val="20"/>
        </w:rPr>
        <w:t xml:space="preserve">ple (98.6%) </w:t>
      </w:r>
      <w:r w:rsidR="004956F9">
        <w:rPr>
          <w:rFonts w:ascii="Times New Roman" w:hAnsi="Times New Roman"/>
          <w:color w:val="000000" w:themeColor="text1"/>
          <w:sz w:val="20"/>
          <w:szCs w:val="20"/>
        </w:rPr>
        <w:fldChar w:fldCharType="begin" w:fldLock="1"/>
      </w:r>
      <w:r w:rsidR="00120769">
        <w:rPr>
          <w:rFonts w:ascii="Times New Roman" w:hAnsi="Times New Roman"/>
          <w:color w:val="000000" w:themeColor="text1"/>
          <w:sz w:val="20"/>
          <w:szCs w:val="20"/>
        </w:rPr>
        <w:instrText>ADDIN CSL_CITATION {"citationItems":[{"id":"ITEM-1","itemData":{"ISBN":"9772302139009","author":[{"dropping-particle":"","family":"Dewi","given":"Dewa Ayu Krisna","non-dropping-particle":"","parse-names":false,"suffix":""},{"dropping-particle":"","family":"Lubis","given":"Dinar SM","non-dropping-particle":"","parse-names":false,"suffix":""}],"container-title":"Indonesian Journal of Public Halth","id":"ITEM-1","issue":"1","issued":{"date-parts":[["2012"]]},"page":"63-68","title":"Tingkat pengetahuan dan sikap remaja putri tentang kehamilan usia dini di kota denpasar","type":"article-journal","volume":"1"},"uris":["http://www.mendeley.com/documents/?uuid=f829b8c0-dc1f-4316-acd5-a450093fc1fa"]}],"mendeley":{"formattedCitation":"[8]","plainTextFormattedCitation":"[8]","previouslyFormattedCitation":"[8]"},"properties":{"noteIndex":0},"schema":"https://github.com/citation-style-language/schema/raw/master/csl-citation.json"}</w:instrText>
      </w:r>
      <w:r w:rsidR="004956F9">
        <w:rPr>
          <w:rFonts w:ascii="Times New Roman" w:hAnsi="Times New Roman"/>
          <w:color w:val="000000" w:themeColor="text1"/>
          <w:sz w:val="20"/>
          <w:szCs w:val="20"/>
        </w:rPr>
        <w:fldChar w:fldCharType="separate"/>
      </w:r>
      <w:r w:rsidR="004956F9" w:rsidRPr="004956F9">
        <w:rPr>
          <w:rFonts w:ascii="Times New Roman" w:hAnsi="Times New Roman"/>
          <w:noProof/>
          <w:color w:val="000000" w:themeColor="text1"/>
          <w:sz w:val="20"/>
          <w:szCs w:val="20"/>
        </w:rPr>
        <w:t>[8]</w:t>
      </w:r>
      <w:r w:rsidR="004956F9">
        <w:rPr>
          <w:rFonts w:ascii="Times New Roman" w:hAnsi="Times New Roman"/>
          <w:color w:val="000000" w:themeColor="text1"/>
          <w:sz w:val="20"/>
          <w:szCs w:val="20"/>
        </w:rPr>
        <w:fldChar w:fldCharType="end"/>
      </w:r>
      <w:r w:rsidRPr="00F21586">
        <w:rPr>
          <w:rFonts w:ascii="Times New Roman" w:hAnsi="Times New Roman"/>
          <w:color w:val="000000" w:themeColor="text1"/>
          <w:sz w:val="20"/>
          <w:szCs w:val="20"/>
        </w:rPr>
        <w:t>.</w:t>
      </w:r>
    </w:p>
    <w:p w:rsidR="00E8573C" w:rsidRPr="00F21586" w:rsidRDefault="00E8573C" w:rsidP="00E8573C">
      <w:pPr>
        <w:pStyle w:val="ListParagraph"/>
        <w:spacing w:after="0" w:line="240" w:lineRule="auto"/>
        <w:ind w:left="284"/>
        <w:jc w:val="both"/>
        <w:rPr>
          <w:rFonts w:ascii="Times New Roman" w:hAnsi="Times New Roman"/>
          <w:color w:val="000000" w:themeColor="text1"/>
          <w:sz w:val="20"/>
          <w:szCs w:val="20"/>
        </w:rPr>
      </w:pPr>
      <w:r w:rsidRPr="00F21586">
        <w:rPr>
          <w:rFonts w:ascii="Times New Roman" w:hAnsi="Times New Roman"/>
          <w:color w:val="000000" w:themeColor="text1"/>
          <w:sz w:val="20"/>
          <w:szCs w:val="20"/>
        </w:rPr>
        <w:tab/>
        <w:t xml:space="preserve">Knowledge is one of the predisposing factors for a risky pregnancy. Lack of knowledge or limited knowledge about high risk pregnancies and the dangers that will be experienced will also increase the incidence of high risk pregnancies. </w:t>
      </w:r>
      <w:proofErr w:type="spellStart"/>
      <w:r w:rsidRPr="00F21586">
        <w:rPr>
          <w:rFonts w:ascii="Times New Roman" w:hAnsi="Times New Roman"/>
          <w:color w:val="000000" w:themeColor="text1"/>
          <w:sz w:val="20"/>
          <w:szCs w:val="20"/>
        </w:rPr>
        <w:t>Behavioral</w:t>
      </w:r>
      <w:proofErr w:type="spellEnd"/>
      <w:r w:rsidRPr="00F21586">
        <w:rPr>
          <w:rFonts w:ascii="Times New Roman" w:hAnsi="Times New Roman"/>
          <w:color w:val="000000" w:themeColor="text1"/>
          <w:sz w:val="20"/>
          <w:szCs w:val="20"/>
        </w:rPr>
        <w:t xml:space="preserve"> and socioeconomic also influence the risk in pregnancy. Knowledge and practice at the adolescent stage will be the basis of healthy </w:t>
      </w:r>
      <w:proofErr w:type="spellStart"/>
      <w:r w:rsidRPr="00F21586">
        <w:rPr>
          <w:rFonts w:ascii="Times New Roman" w:hAnsi="Times New Roman"/>
          <w:color w:val="000000" w:themeColor="text1"/>
          <w:sz w:val="20"/>
          <w:szCs w:val="20"/>
        </w:rPr>
        <w:t>behavior</w:t>
      </w:r>
      <w:proofErr w:type="spellEnd"/>
      <w:r w:rsidRPr="00F21586">
        <w:rPr>
          <w:rFonts w:ascii="Times New Roman" w:hAnsi="Times New Roman"/>
          <w:color w:val="000000" w:themeColor="text1"/>
          <w:sz w:val="20"/>
          <w:szCs w:val="20"/>
        </w:rPr>
        <w:t xml:space="preserve"> at a later stage in life. Thus, investing in adolescent reproductive health programs during life will</w:t>
      </w:r>
      <w:r w:rsidR="004956F9">
        <w:rPr>
          <w:rFonts w:ascii="Times New Roman" w:hAnsi="Times New Roman"/>
          <w:color w:val="000000" w:themeColor="text1"/>
          <w:sz w:val="20"/>
          <w:szCs w:val="20"/>
        </w:rPr>
        <w:t xml:space="preserve"> be beneficial </w:t>
      </w:r>
      <w:r w:rsidR="004956F9">
        <w:rPr>
          <w:rFonts w:ascii="Times New Roman" w:hAnsi="Times New Roman"/>
          <w:color w:val="000000" w:themeColor="text1"/>
          <w:sz w:val="20"/>
          <w:szCs w:val="20"/>
        </w:rPr>
        <w:fldChar w:fldCharType="begin" w:fldLock="1"/>
      </w:r>
      <w:r w:rsidR="009E04BE">
        <w:rPr>
          <w:rFonts w:ascii="Times New Roman" w:hAnsi="Times New Roman"/>
          <w:color w:val="000000" w:themeColor="text1"/>
          <w:sz w:val="20"/>
          <w:szCs w:val="20"/>
        </w:rPr>
        <w:instrText>ADDIN CSL_CITATION {"citationItems":[{"id":"ITEM-1","itemData":{"author":[{"dropping-particle":"","family":"Septiana","given":"","non-dropping-particle":"","parse-names":false,"suffix":""},{"dropping-particle":"","family":"Tjahjani","given":"Ely","non-dropping-particle":"","parse-names":false,"suffix":""}],"container-title":"Jurnal: Akademi Kebidanan Griya Husada","id":"ITEM-1","issue":"1","issued":{"date-parts":[["2015"]]},"page":"38-43","title":"Kejadian Risiko Kehamilan Berdasarkan Tingkat Pengetahuan Ibu Hamil Trimester III","type":"article-journal","volume":"2"},"uris":["http://www.mendeley.com/documents/?uuid=26fcb4a7-8d75-4a03-a37a-8ec0d2827d83"]}],"mendeley":{"formattedCitation":"[13]","plainTextFormattedCitation":"[13]","previouslyFormattedCitation":"[13]"},"properties":{"noteIndex":0},"schema":"https://github.com/citation-style-language/schema/raw/master/csl-citation.json"}</w:instrText>
      </w:r>
      <w:r w:rsidR="004956F9">
        <w:rPr>
          <w:rFonts w:ascii="Times New Roman" w:hAnsi="Times New Roman"/>
          <w:color w:val="000000" w:themeColor="text1"/>
          <w:sz w:val="20"/>
          <w:szCs w:val="20"/>
        </w:rPr>
        <w:fldChar w:fldCharType="separate"/>
      </w:r>
      <w:r w:rsidR="00120769" w:rsidRPr="00120769">
        <w:rPr>
          <w:rFonts w:ascii="Times New Roman" w:hAnsi="Times New Roman"/>
          <w:noProof/>
          <w:color w:val="000000" w:themeColor="text1"/>
          <w:sz w:val="20"/>
          <w:szCs w:val="20"/>
        </w:rPr>
        <w:t>[13]</w:t>
      </w:r>
      <w:r w:rsidR="004956F9">
        <w:rPr>
          <w:rFonts w:ascii="Times New Roman" w:hAnsi="Times New Roman"/>
          <w:color w:val="000000" w:themeColor="text1"/>
          <w:sz w:val="20"/>
          <w:szCs w:val="20"/>
        </w:rPr>
        <w:fldChar w:fldCharType="end"/>
      </w:r>
      <w:r w:rsidRPr="00F21586">
        <w:rPr>
          <w:rFonts w:ascii="Times New Roman" w:hAnsi="Times New Roman"/>
          <w:color w:val="000000" w:themeColor="text1"/>
          <w:sz w:val="20"/>
          <w:szCs w:val="20"/>
        </w:rPr>
        <w:t>.</w:t>
      </w:r>
    </w:p>
    <w:p w:rsidR="00E8573C" w:rsidRPr="00F21586" w:rsidRDefault="00E8573C" w:rsidP="00E8573C">
      <w:pPr>
        <w:pStyle w:val="ListParagraph"/>
        <w:spacing w:after="0" w:line="240" w:lineRule="auto"/>
        <w:ind w:left="284"/>
        <w:jc w:val="both"/>
        <w:rPr>
          <w:rFonts w:ascii="Times New Roman" w:hAnsi="Times New Roman"/>
          <w:b/>
          <w:color w:val="000000" w:themeColor="text1"/>
          <w:sz w:val="20"/>
          <w:szCs w:val="20"/>
        </w:rPr>
      </w:pPr>
      <w:r w:rsidRPr="00F21586">
        <w:rPr>
          <w:rFonts w:ascii="Times New Roman" w:hAnsi="Times New Roman"/>
          <w:color w:val="000000" w:themeColor="text1"/>
          <w:sz w:val="20"/>
          <w:szCs w:val="20"/>
        </w:rPr>
        <w:tab/>
        <w:t xml:space="preserve">Efforts that can be done by adolescents in increasing their knowledge are through mass media information and health services in schools and health institutions. Teenagers can dig more information about risky pregnancies so they can avoid unwanted pregnancies. Students who have good knowledge can take part in PIK-KRR activities and become peer </w:t>
      </w:r>
      <w:proofErr w:type="spellStart"/>
      <w:r w:rsidRPr="00F21586">
        <w:rPr>
          <w:rFonts w:ascii="Times New Roman" w:hAnsi="Times New Roman"/>
          <w:color w:val="000000" w:themeColor="text1"/>
          <w:sz w:val="20"/>
          <w:szCs w:val="20"/>
        </w:rPr>
        <w:t>counselors</w:t>
      </w:r>
      <w:proofErr w:type="spellEnd"/>
      <w:r w:rsidRPr="00F21586">
        <w:rPr>
          <w:rFonts w:ascii="Times New Roman" w:hAnsi="Times New Roman"/>
          <w:color w:val="000000" w:themeColor="text1"/>
          <w:sz w:val="20"/>
          <w:szCs w:val="20"/>
        </w:rPr>
        <w:t xml:space="preserve"> so that they can provide information to other students who do not know about risky pregnancies.</w:t>
      </w:r>
      <w:r w:rsidRPr="00F21586">
        <w:rPr>
          <w:rFonts w:ascii="Times New Roman" w:hAnsi="Times New Roman"/>
          <w:color w:val="000000" w:themeColor="text1"/>
          <w:sz w:val="20"/>
          <w:szCs w:val="20"/>
          <w:lang w:val="id-ID"/>
        </w:rPr>
        <w:t xml:space="preserve"> </w:t>
      </w:r>
    </w:p>
    <w:p w:rsidR="00E8573C" w:rsidRPr="00F21586" w:rsidRDefault="00E8573C" w:rsidP="00E8573C">
      <w:pPr>
        <w:jc w:val="both"/>
        <w:rPr>
          <w:b/>
          <w:color w:val="000000" w:themeColor="text1"/>
        </w:rPr>
      </w:pPr>
    </w:p>
    <w:p w:rsidR="00E8573C" w:rsidRPr="00F21586" w:rsidRDefault="00E8573C" w:rsidP="006C6261">
      <w:pPr>
        <w:pStyle w:val="BodyText"/>
        <w:numPr>
          <w:ilvl w:val="0"/>
          <w:numId w:val="20"/>
        </w:numPr>
        <w:spacing w:after="0"/>
        <w:ind w:left="284" w:hanging="284"/>
        <w:jc w:val="both"/>
        <w:rPr>
          <w:b/>
          <w:color w:val="000000" w:themeColor="text1"/>
        </w:rPr>
      </w:pPr>
      <w:r w:rsidRPr="00F21586">
        <w:rPr>
          <w:b/>
          <w:color w:val="000000" w:themeColor="text1"/>
        </w:rPr>
        <w:t>Attitudes about risky pregnancy before and after health education is given at SMK Muhammadiyah 1 Wonosobo</w:t>
      </w:r>
    </w:p>
    <w:p w:rsidR="00E8573C" w:rsidRPr="00F21586" w:rsidRDefault="00E8573C" w:rsidP="00E8573C">
      <w:pPr>
        <w:pStyle w:val="BodyText"/>
        <w:spacing w:after="0"/>
        <w:ind w:left="284"/>
        <w:jc w:val="both"/>
        <w:rPr>
          <w:color w:val="000000" w:themeColor="text1"/>
        </w:rPr>
      </w:pPr>
      <w:r w:rsidRPr="00F21586">
        <w:rPr>
          <w:b/>
          <w:color w:val="000000" w:themeColor="text1"/>
        </w:rPr>
        <w:tab/>
      </w:r>
      <w:r w:rsidRPr="00F21586">
        <w:rPr>
          <w:color w:val="000000" w:themeColor="text1"/>
        </w:rPr>
        <w:t>Before counseling, the results of the study showed that respondents who had positive attitudes towards risky pregnancies were 63 people (58.3%) and after counseling, the results showed that respondents who had positive attitudes towards risky pregnancies were 69 people (63.9 %). These results prove that most students have good attitude about risky pregnancy. The positive attitude referred to in this study is the tendency to avoid or prevent risky pregnancies.</w:t>
      </w:r>
    </w:p>
    <w:p w:rsidR="00E8573C" w:rsidRPr="00F21586" w:rsidRDefault="00E8573C" w:rsidP="00E8573C">
      <w:pPr>
        <w:pStyle w:val="BodyText"/>
        <w:spacing w:after="0"/>
        <w:ind w:left="284"/>
        <w:jc w:val="both"/>
        <w:rPr>
          <w:color w:val="000000" w:themeColor="text1"/>
        </w:rPr>
      </w:pPr>
      <w:r w:rsidRPr="00F21586">
        <w:rPr>
          <w:color w:val="000000" w:themeColor="text1"/>
        </w:rPr>
        <w:tab/>
        <w:t>The attitude of students about risky pregnancies at SMK Muhammadiyah 1 Wonosobo is known to number 45 people (41.7%) people are hegative (tendency to approach risky pregnancy behavior). Student attitudes can be influenced by several factors including personal experience, the influence of others, emotional factors, culture, mass media, educ</w:t>
      </w:r>
      <w:r w:rsidR="00120769">
        <w:rPr>
          <w:color w:val="000000" w:themeColor="text1"/>
        </w:rPr>
        <w:t xml:space="preserve">ation and religion </w:t>
      </w:r>
      <w:r w:rsidRPr="00F21586">
        <w:rPr>
          <w:color w:val="000000" w:themeColor="text1"/>
        </w:rPr>
        <w:t>. Efforts that can be done by adolescents in enhancing negative attitudes about risky pregnancies is to be more careful about relationships that tend to be related to the abuse of sexual function that can cause pregnancy at young age.</w:t>
      </w:r>
    </w:p>
    <w:p w:rsidR="00E8573C" w:rsidRPr="00F21586" w:rsidRDefault="00E8573C" w:rsidP="00E8573C">
      <w:pPr>
        <w:pStyle w:val="BodyText"/>
        <w:spacing w:after="0"/>
        <w:ind w:left="284"/>
        <w:jc w:val="both"/>
        <w:rPr>
          <w:color w:val="000000" w:themeColor="text1"/>
        </w:rPr>
      </w:pPr>
      <w:r w:rsidRPr="00F21586">
        <w:rPr>
          <w:color w:val="000000" w:themeColor="text1"/>
        </w:rPr>
        <w:tab/>
        <w:t>Research conducted by Dewi shows that adolescents have good knowledge but do not consistently show good attitudes towards pregnancy in their teens. Teenagers have negative attitudes that lead to high risks such as hugging during courtship and kiss</w:t>
      </w:r>
      <w:r w:rsidR="004956F9">
        <w:rPr>
          <w:color w:val="000000" w:themeColor="text1"/>
        </w:rPr>
        <w:t xml:space="preserve">ing forehead </w:t>
      </w:r>
      <w:r w:rsidR="004956F9">
        <w:rPr>
          <w:color w:val="000000" w:themeColor="text1"/>
        </w:rPr>
        <w:fldChar w:fldCharType="begin" w:fldLock="1"/>
      </w:r>
      <w:r w:rsidR="00120769">
        <w:rPr>
          <w:color w:val="000000" w:themeColor="text1"/>
        </w:rPr>
        <w:instrText>ADDIN CSL_CITATION {"citationItems":[{"id":"ITEM-1","itemData":{"ISBN":"9772302139009","author":[{"dropping-particle":"","family":"Dewi","given":"Dewa Ayu Krisna","non-dropping-particle":"","parse-names":false,"suffix":""},{"dropping-particle":"","family":"Lubis","given":"Dinar SM","non-dropping-particle":"","parse-names":false,"suffix":""}],"container-title":"Indonesian Journal of Public Halth","id":"ITEM-1","issue":"1","issued":{"date-parts":[["2012"]]},"page":"63-68","title":"Tingkat pengetahuan dan sikap remaja putri tentang kehamilan usia dini di kota denpasar","type":"article-journal","volume":"1"},"uris":["http://www.mendeley.com/documents/?uuid=f829b8c0-dc1f-4316-acd5-a450093fc1fa"]}],"mendeley":{"formattedCitation":"[8]","plainTextFormattedCitation":"[8]","previouslyFormattedCitation":"[8]"},"properties":{"noteIndex":0},"schema":"https://github.com/citation-style-language/schema/raw/master/csl-citation.json"}</w:instrText>
      </w:r>
      <w:r w:rsidR="004956F9">
        <w:rPr>
          <w:color w:val="000000" w:themeColor="text1"/>
        </w:rPr>
        <w:fldChar w:fldCharType="separate"/>
      </w:r>
      <w:r w:rsidR="004956F9" w:rsidRPr="004956F9">
        <w:rPr>
          <w:noProof/>
          <w:color w:val="000000" w:themeColor="text1"/>
        </w:rPr>
        <w:t>[8]</w:t>
      </w:r>
      <w:r w:rsidR="004956F9">
        <w:rPr>
          <w:color w:val="000000" w:themeColor="text1"/>
        </w:rPr>
        <w:fldChar w:fldCharType="end"/>
      </w:r>
      <w:r w:rsidRPr="00F21586">
        <w:rPr>
          <w:color w:val="000000" w:themeColor="text1"/>
        </w:rPr>
        <w:t>.</w:t>
      </w:r>
      <w:r w:rsidRPr="00F21586">
        <w:rPr>
          <w:color w:val="000000" w:themeColor="text1"/>
        </w:rPr>
        <w:tab/>
      </w:r>
    </w:p>
    <w:p w:rsidR="00E8573C" w:rsidRPr="00F21586" w:rsidRDefault="00E8573C" w:rsidP="00E8573C">
      <w:pPr>
        <w:pStyle w:val="BodyText"/>
        <w:spacing w:after="0"/>
        <w:ind w:left="284"/>
        <w:jc w:val="both"/>
        <w:rPr>
          <w:b/>
          <w:color w:val="000000" w:themeColor="text1"/>
        </w:rPr>
      </w:pPr>
      <w:r w:rsidRPr="00F21586">
        <w:rPr>
          <w:color w:val="000000" w:themeColor="text1"/>
        </w:rPr>
        <w:tab/>
        <w:t xml:space="preserve">Attitude is a reaction or response that is still closed from someone which is a combination of cognitive and affective towards an </w:t>
      </w:r>
      <w:r w:rsidR="009E04BE">
        <w:rPr>
          <w:color w:val="000000" w:themeColor="text1"/>
        </w:rPr>
        <w:t xml:space="preserve">object or stimulus </w:t>
      </w:r>
      <w:r w:rsidR="009E04BE">
        <w:rPr>
          <w:color w:val="000000" w:themeColor="text1"/>
        </w:rPr>
        <w:fldChar w:fldCharType="begin" w:fldLock="1"/>
      </w:r>
      <w:r w:rsidR="009E04BE">
        <w:rPr>
          <w:color w:val="000000" w:themeColor="text1"/>
        </w:rPr>
        <w:instrText>ADDIN CSL_CITATION {"citationItems":[{"id":"ITEM-1","itemData":{"author":[{"dropping-particle":"","family":"S","given":"Azwar","non-dropping-particle":"","parse-names":false,"suffix":""}],"editor":[{"dropping-particle":"","family":"Pustaka Pelajar","given":"","non-dropping-particle":"","parse-names":false,"suffix":""}],"id":"ITEM-1","issued":{"date-parts":[["2011"]]},"publisher-place":"Yogyakarta","title":"Sikap Manusia Teori dan Pengukurannya","type":"book"},"uris":["http://www.mendeley.com/documents/?uuid=2b322db5-eadf-4035-a1fd-0dfcc7a97c2a"]}],"mendeley":{"formattedCitation":"[14]","plainTextFormattedCitation":"[14]","previouslyFormattedCitation":"[14]"},"properties":{"noteIndex":0},"schema":"https://github.com/citation-style-language/schema/raw/master/csl-citation.json"}</w:instrText>
      </w:r>
      <w:r w:rsidR="009E04BE">
        <w:rPr>
          <w:color w:val="000000" w:themeColor="text1"/>
        </w:rPr>
        <w:fldChar w:fldCharType="separate"/>
      </w:r>
      <w:r w:rsidR="009E04BE" w:rsidRPr="009E04BE">
        <w:rPr>
          <w:noProof/>
          <w:color w:val="000000" w:themeColor="text1"/>
        </w:rPr>
        <w:t>[14]</w:t>
      </w:r>
      <w:r w:rsidR="009E04BE">
        <w:rPr>
          <w:color w:val="000000" w:themeColor="text1"/>
        </w:rPr>
        <w:fldChar w:fldCharType="end"/>
      </w:r>
      <w:r w:rsidRPr="00F21586">
        <w:rPr>
          <w:color w:val="000000" w:themeColor="text1"/>
        </w:rPr>
        <w:t xml:space="preserve">. Adolescent attitudes towards pregnancy at an </w:t>
      </w:r>
      <w:r w:rsidRPr="00F21586">
        <w:rPr>
          <w:color w:val="000000" w:themeColor="text1"/>
        </w:rPr>
        <w:lastRenderedPageBreak/>
        <w:t>early age are an important part of being able to understand the phenomenon of an increasing number of cases of early</w:t>
      </w:r>
      <w:r w:rsidR="004956F9">
        <w:rPr>
          <w:color w:val="000000" w:themeColor="text1"/>
        </w:rPr>
        <w:t xml:space="preserve"> pregnancy which are very risky</w:t>
      </w:r>
      <w:r w:rsidRPr="00F21586">
        <w:rPr>
          <w:color w:val="000000" w:themeColor="text1"/>
        </w:rPr>
        <w:t>. Social attitudes and norms are an important part of adolescent life in making decisions to behave risky.</w:t>
      </w:r>
    </w:p>
    <w:p w:rsidR="00E8573C" w:rsidRPr="00F21586" w:rsidRDefault="00E8573C" w:rsidP="00E8573C">
      <w:pPr>
        <w:pStyle w:val="BodyText"/>
        <w:spacing w:after="0"/>
        <w:ind w:left="2520" w:firstLine="360"/>
        <w:jc w:val="both"/>
        <w:rPr>
          <w:color w:val="000000" w:themeColor="text1"/>
        </w:rPr>
      </w:pPr>
    </w:p>
    <w:p w:rsidR="00E8573C" w:rsidRPr="00F21586" w:rsidRDefault="00E8573C" w:rsidP="006C6261">
      <w:pPr>
        <w:pStyle w:val="BodyText"/>
        <w:numPr>
          <w:ilvl w:val="0"/>
          <w:numId w:val="20"/>
        </w:numPr>
        <w:spacing w:after="0"/>
        <w:ind w:left="284" w:hanging="284"/>
        <w:jc w:val="both"/>
        <w:rPr>
          <w:b/>
          <w:color w:val="000000" w:themeColor="text1"/>
        </w:rPr>
      </w:pPr>
      <w:r w:rsidRPr="00F21586">
        <w:rPr>
          <w:b/>
          <w:color w:val="000000" w:themeColor="text1"/>
        </w:rPr>
        <w:t>The effect of reproductive health counseling on increasing knowledge and attitudes about risky pregnancy in SMK Muhammadiyah 1 Wonosobo</w:t>
      </w:r>
    </w:p>
    <w:p w:rsidR="00E8573C" w:rsidRPr="00F21586" w:rsidRDefault="00E8573C" w:rsidP="00E8573C">
      <w:pPr>
        <w:pStyle w:val="BodyText"/>
        <w:spacing w:after="0"/>
        <w:ind w:left="284"/>
        <w:jc w:val="both"/>
        <w:rPr>
          <w:color w:val="000000" w:themeColor="text1"/>
        </w:rPr>
      </w:pPr>
      <w:r w:rsidRPr="00F21586">
        <w:rPr>
          <w:b/>
          <w:color w:val="000000" w:themeColor="text1"/>
        </w:rPr>
        <w:tab/>
      </w:r>
      <w:r w:rsidRPr="00F21586">
        <w:rPr>
          <w:color w:val="000000" w:themeColor="text1"/>
        </w:rPr>
        <w:t>Counseling about risky pregnancies conducted at SMK Muhammadiyah 1 Wonosobo shows that from the measurement of pretest and posttest, it can be seen that knowledge and attitudes are increasing. The results of the knowledge variable analysis showed a significant value of 0.003 (p &lt;0.05). These results prove after the intervention, there is an influence of counseling on the level of knowledge about risky pregnancies at SMK Muhammadiyah 1 Wonosobo. The results of the attitude variable analysis showed a significant value of 0.010 (p &lt;0.05). These results prove after the intervention, there is the effect of counseling on attitudes about risky pregnancies in SMK Muhammadiyah 1 Wonosobo.</w:t>
      </w:r>
    </w:p>
    <w:p w:rsidR="00E8573C" w:rsidRPr="00F21586" w:rsidRDefault="00E8573C" w:rsidP="00E8573C">
      <w:pPr>
        <w:pStyle w:val="BodyText"/>
        <w:spacing w:after="0"/>
        <w:ind w:left="284"/>
        <w:jc w:val="both"/>
        <w:rPr>
          <w:color w:val="000000" w:themeColor="text1"/>
        </w:rPr>
      </w:pPr>
      <w:r w:rsidRPr="00F21586">
        <w:rPr>
          <w:color w:val="000000" w:themeColor="text1"/>
        </w:rPr>
        <w:tab/>
        <w:t>At the time of the research, the conditions and conditions were very supportive and the process also received positive responses from students due to several influencing factors. These factors are the absence of students doing research at SMK Muhammadiyah 1 Wonosobo, there is no counseling from the Wonosobo Health Office on reproductive health (risky pregnancy), no biology subjects, and the lack of counseling guidance on reproductive health so that students are very enthusiastic to follow the stages of research and are supported by way of delivering interesting counseling such as using powerpoints, material that is packaged simply, delivering clear information will be easily understood and understood by respondents, and at the end of the counseling there is a question and answer session so that it will increase students' knowledge about pregnancy risk properly and correctly.</w:t>
      </w:r>
    </w:p>
    <w:p w:rsidR="00E8573C" w:rsidRPr="00F21586" w:rsidRDefault="00E8573C" w:rsidP="00E8573C">
      <w:pPr>
        <w:pStyle w:val="BodyText"/>
        <w:spacing w:after="0"/>
        <w:ind w:left="284"/>
        <w:jc w:val="both"/>
        <w:rPr>
          <w:color w:val="000000" w:themeColor="text1"/>
        </w:rPr>
      </w:pPr>
      <w:r w:rsidRPr="00F21586">
        <w:rPr>
          <w:color w:val="000000" w:themeColor="text1"/>
        </w:rPr>
        <w:tab/>
        <w:t xml:space="preserve">The results of several studies of prior knowledge indicate that an increase in adolescent knowledge about reproductive health after health education </w:t>
      </w:r>
      <w:r w:rsidR="004956F9">
        <w:rPr>
          <w:color w:val="000000" w:themeColor="text1"/>
        </w:rPr>
        <w:t xml:space="preserve">was conducted </w:t>
      </w:r>
      <w:r w:rsidR="004956F9">
        <w:rPr>
          <w:color w:val="000000" w:themeColor="text1"/>
        </w:rPr>
        <w:fldChar w:fldCharType="begin" w:fldLock="1"/>
      </w:r>
      <w:r w:rsidR="004956F9">
        <w:rPr>
          <w:color w:val="000000" w:themeColor="text1"/>
        </w:rPr>
        <w:instrText>ADDIN CSL_CITATION {"citationItems":[{"id":"ITEM-1","itemData":{"author":[{"dropping-particle":"","family":"DN","given":"Pramudyanti","non-dropping-particle":"","parse-names":false,"suffix":""}],"container-title":"JKep","id":"ITEM-1","issue":"3","issued":{"date-parts":[["2014"]]},"title":"Pengaruh Pendidikan Kesehatan Metode Peer Group Terhadap Pengetahuan dan Sikap Remaja Putri Tentang Kesehatan Reproduksi","type":"article-journal","volume":"2"},"uris":["http://www.mendeley.com/documents/?uuid=ddbf8016-e657-4542-bc35-0bcec6346bac"]}],"mendeley":{"formattedCitation":"[2]","plainTextFormattedCitation":"[2]","previouslyFormattedCitation":"[2]"},"properties":{"noteIndex":0},"schema":"https://github.com/citation-style-language/schema/raw/master/csl-citation.json"}</w:instrText>
      </w:r>
      <w:r w:rsidR="004956F9">
        <w:rPr>
          <w:color w:val="000000" w:themeColor="text1"/>
        </w:rPr>
        <w:fldChar w:fldCharType="separate"/>
      </w:r>
      <w:r w:rsidR="004956F9" w:rsidRPr="004956F9">
        <w:rPr>
          <w:noProof/>
          <w:color w:val="000000" w:themeColor="text1"/>
        </w:rPr>
        <w:t>[2]</w:t>
      </w:r>
      <w:r w:rsidR="004956F9">
        <w:rPr>
          <w:color w:val="000000" w:themeColor="text1"/>
        </w:rPr>
        <w:fldChar w:fldCharType="end"/>
      </w:r>
      <w:r w:rsidRPr="00F21586">
        <w:rPr>
          <w:color w:val="000000" w:themeColor="text1"/>
        </w:rPr>
        <w:t>. This shows that there is an influence of health education on ado</w:t>
      </w:r>
      <w:r w:rsidR="004956F9">
        <w:rPr>
          <w:color w:val="000000" w:themeColor="text1"/>
        </w:rPr>
        <w:t xml:space="preserve">lescent knowledge </w:t>
      </w:r>
      <w:r w:rsidR="004956F9">
        <w:rPr>
          <w:color w:val="000000" w:themeColor="text1"/>
        </w:rPr>
        <w:fldChar w:fldCharType="begin" w:fldLock="1"/>
      </w:r>
      <w:r w:rsidR="009E04BE">
        <w:rPr>
          <w:color w:val="000000" w:themeColor="text1"/>
        </w:rPr>
        <w:instrText>ADDIN CSL_CITATION {"citationItems":[{"id":"ITEM-1","itemData":{"author":[{"dropping-particle":"","family":"Rahayu","given":"Nuzulia","non-dropping-particle":"","parse-names":false,"suffix":""},{"dropping-particle":"","family":"Yusad","given":"Yusniwarti","non-dropping-particle":"","parse-names":false,"suffix":""},{"dropping-particle":"","family":"Lubis","given":"Ria Masniari","non-dropping-particle":"","parse-names":false,"suffix":""}],"container-title":"Jurnal Gizi, Kesehatan Reproduksi dan Epidemiologi","id":"ITEM-1","issue":"5","issued":{"date-parts":[["2013"]]},"page":"1-8","title":"Pengaruh Kegiatan Penyuluhan Dalam Pelayanan Kesehatan Peduli Remaja (PKPR) Terhadap Pengetahuan Dan Sikap Remaja Tentang Seks Pranikah Di SMAN 1 Lubuk Dalam Kabupaten Siak Sri Indrapura Tahun 2013","type":"article-journal","volume":"2"},"uris":["http://www.mendeley.com/documents/?uuid=40ac5a7c-bfbe-4cc7-9917-34e6ea2be4e1"]}],"mendeley":{"formattedCitation":"[15]","plainTextFormattedCitation":"[15]","previouslyFormattedCitation":"[15]"},"properties":{"noteIndex":0},"schema":"https://github.com/citation-style-language/schema/raw/master/csl-citation.json"}</w:instrText>
      </w:r>
      <w:r w:rsidR="004956F9">
        <w:rPr>
          <w:color w:val="000000" w:themeColor="text1"/>
        </w:rPr>
        <w:fldChar w:fldCharType="separate"/>
      </w:r>
      <w:r w:rsidR="009E04BE" w:rsidRPr="009E04BE">
        <w:rPr>
          <w:noProof/>
          <w:color w:val="000000" w:themeColor="text1"/>
        </w:rPr>
        <w:t>[15]</w:t>
      </w:r>
      <w:r w:rsidR="004956F9">
        <w:rPr>
          <w:color w:val="000000" w:themeColor="text1"/>
        </w:rPr>
        <w:fldChar w:fldCharType="end"/>
      </w:r>
      <w:r w:rsidRPr="00F21586">
        <w:rPr>
          <w:color w:val="000000" w:themeColor="text1"/>
        </w:rPr>
        <w:t>. Wilcoxon statistical test results obtained p value &lt;0,0001 &lt;α = 0.05 means Ho was rejected and it was concluded that there was an influence of counseling activities in PKPR on adolescent knowledge about premarital sex. Before conducting counseling in PKPR activities, the majority of respondents had good knowledge of 39.3% and after counseling about premarital sex of respondents who were well knowledgeed were 80.4%. Based on the Wilcoxon test results, with P value = 0,000, because P value = 0,000 &lt;α (0.05) then Ho is rejected and Ha is accepted, this shows that there is a significant effect of counseling on adolescent knowledge in Binsus 9 Manado</w:t>
      </w:r>
      <w:r w:rsidR="004956F9">
        <w:rPr>
          <w:color w:val="000000" w:themeColor="text1"/>
        </w:rPr>
        <w:t xml:space="preserve"> High School </w:t>
      </w:r>
      <w:r w:rsidR="004956F9">
        <w:rPr>
          <w:color w:val="000000" w:themeColor="text1"/>
        </w:rPr>
        <w:fldChar w:fldCharType="begin" w:fldLock="1"/>
      </w:r>
      <w:r w:rsidR="009E04BE">
        <w:rPr>
          <w:color w:val="000000" w:themeColor="text1"/>
        </w:rPr>
        <w:instrText>ADDIN CSL_CITATION {"citationItems":[{"id":"ITEM-1","itemData":{"author":[{"dropping-particle":"","family":"Bachruddin","given":"Wustha","non-dropping-particle":"","parse-names":false,"suffix":""},{"dropping-particle":"","family":"Kalalo","given":"Flora","non-dropping-particle":"","parse-names":false,"suffix":""},{"dropping-particle":"","family":"Kundre","given":"Rina","non-dropping-particle":"","parse-names":false,"suffix":""}],"container-title":"e-Journal Keperawatan (e-Kp)","id":"ITEM-1","issue":"1","issued":{"date-parts":[["2017"]]},"page":"1-7","title":"Pengaruh Penyuluhan Tentang Bahaya Seks Bebas Terhadap Pengetahuan Remaja Tentang Seks Bebas Di SMA Negeri Binsus 9 Manado","type":"article-journal","volume":"5"},"uris":["http://www.mendeley.com/documents/?uuid=ecea8f87-da92-4312-a04c-b16e92aa58fd"]}],"mendeley":{"formattedCitation":"[16]","plainTextFormattedCitation":"[16]","previouslyFormattedCitation":"[16]"},"properties":{"noteIndex":0},"schema":"https://github.com/citation-style-language/schema/raw/master/csl-citation.json"}</w:instrText>
      </w:r>
      <w:r w:rsidR="004956F9">
        <w:rPr>
          <w:color w:val="000000" w:themeColor="text1"/>
        </w:rPr>
        <w:fldChar w:fldCharType="separate"/>
      </w:r>
      <w:r w:rsidR="009E04BE" w:rsidRPr="009E04BE">
        <w:rPr>
          <w:noProof/>
          <w:color w:val="000000" w:themeColor="text1"/>
        </w:rPr>
        <w:t>[16]</w:t>
      </w:r>
      <w:r w:rsidR="004956F9">
        <w:rPr>
          <w:color w:val="000000" w:themeColor="text1"/>
        </w:rPr>
        <w:fldChar w:fldCharType="end"/>
      </w:r>
      <w:r w:rsidRPr="00F21586">
        <w:rPr>
          <w:color w:val="000000" w:themeColor="text1"/>
        </w:rPr>
        <w:t>. Distribution of respondents based on the level of knowledge before counseling about the dangers of free sex with a good frequency of knowledge level of 2 people (5.4%) and after counseling about the dangers of free sex, those with a frequency of good knowledge level amounted to 34 people (91.9%). Setyorini's research shows the same results, namely the influence of health education about the dangers of premarital sex on knowledge and attitudes, the level of knowledge of the dangers of premarital sex. 6</w:t>
      </w:r>
      <w:r w:rsidR="009E04BE">
        <w:rPr>
          <w:color w:val="000000" w:themeColor="text1"/>
        </w:rPr>
        <w:t xml:space="preserve">3 people (95%) </w:t>
      </w:r>
      <w:r w:rsidR="009E04BE">
        <w:rPr>
          <w:color w:val="000000" w:themeColor="text1"/>
        </w:rPr>
        <w:fldChar w:fldCharType="begin" w:fldLock="1"/>
      </w:r>
      <w:r w:rsidR="009E04BE">
        <w:rPr>
          <w:color w:val="000000" w:themeColor="text1"/>
        </w:rPr>
        <w:instrText>ADDIN CSL_CITATION {"citationItems":[{"id":"ITEM-1","itemData":{"author":[{"dropping-particle":"","family":"Zulfikar","given":"","non-dropping-particle":"","parse-names":false,"suffix":""},{"dropping-particle":"","family":"Kunoli","given":"Firdaus J","non-dropping-particle":"","parse-names":false,"suffix":""},{"dropping-particle":"","family":"Jufri","given":"Muh","non-dropping-particle":"","parse-names":false,"suffix":""},{"dropping-particle":"","family":"Rafiudin","given":"","non-dropping-particle":"","parse-names":false,"suffix":""}],"container-title":"Jurnal Kolaboratif Sains","id":"ITEM-1","issue":"1","issued":{"date-parts":[["2018"]]},"page":"551-558","title":"Pengaruh Pendidikan Kesehatan Tentang Seks Pra Nikah Terhadap Pengetahuan Siswa Di SMA 1 Bolano Lambunu","type":"article-journal","volume":"1"},"uris":["http://www.mendeley.com/documents/?uuid=08092a5e-7ad2-40f3-89d3-206313413245"]}],"mendeley":{"formattedCitation":"[17]","plainTextFormattedCitation":"[17]","previouslyFormattedCitation":"[17]"},"properties":{"noteIndex":0},"schema":"https://github.com/citation-style-language/schema/raw/master/csl-citation.json"}</w:instrText>
      </w:r>
      <w:r w:rsidR="009E04BE">
        <w:rPr>
          <w:color w:val="000000" w:themeColor="text1"/>
        </w:rPr>
        <w:fldChar w:fldCharType="separate"/>
      </w:r>
      <w:r w:rsidR="009E04BE" w:rsidRPr="009E04BE">
        <w:rPr>
          <w:noProof/>
          <w:color w:val="000000" w:themeColor="text1"/>
        </w:rPr>
        <w:t>[17]</w:t>
      </w:r>
      <w:r w:rsidR="009E04BE">
        <w:rPr>
          <w:color w:val="000000" w:themeColor="text1"/>
        </w:rPr>
        <w:fldChar w:fldCharType="end"/>
      </w:r>
      <w:r w:rsidRPr="00F21586">
        <w:rPr>
          <w:color w:val="000000" w:themeColor="text1"/>
        </w:rPr>
        <w:t>. The results of several previous studies indicate that there are differences in knowledge before and after counseling.</w:t>
      </w:r>
    </w:p>
    <w:p w:rsidR="00E8573C" w:rsidRPr="00F21586" w:rsidRDefault="00E8573C" w:rsidP="00E8573C">
      <w:pPr>
        <w:pStyle w:val="BodyText"/>
        <w:spacing w:after="0"/>
        <w:ind w:left="284"/>
        <w:jc w:val="both"/>
        <w:rPr>
          <w:color w:val="000000" w:themeColor="text1"/>
        </w:rPr>
      </w:pPr>
      <w:r w:rsidRPr="00F21586">
        <w:rPr>
          <w:color w:val="000000" w:themeColor="text1"/>
        </w:rPr>
        <w:tab/>
        <w:t>Supporting results from research on attitude</w:t>
      </w:r>
      <w:r w:rsidR="00D807E1">
        <w:rPr>
          <w:color w:val="000000" w:themeColor="text1"/>
        </w:rPr>
        <w:t>s conducted by Sastria</w:t>
      </w:r>
      <w:r w:rsidRPr="00F21586">
        <w:rPr>
          <w:color w:val="000000" w:themeColor="text1"/>
        </w:rPr>
        <w:t xml:space="preserve"> show that there is an influence of counseling interventions on adolescent attitude</w:t>
      </w:r>
      <w:r w:rsidR="004956F9">
        <w:rPr>
          <w:color w:val="000000" w:themeColor="text1"/>
        </w:rPr>
        <w:t xml:space="preserve">s about reproductive health </w:t>
      </w:r>
      <w:r w:rsidR="004956F9">
        <w:rPr>
          <w:color w:val="000000" w:themeColor="text1"/>
        </w:rPr>
        <w:fldChar w:fldCharType="begin" w:fldLock="1"/>
      </w:r>
      <w:r w:rsidR="009E04BE">
        <w:rPr>
          <w:color w:val="000000" w:themeColor="text1"/>
        </w:rPr>
        <w:instrText>ADDIN CSL_CITATION {"citationItems":[{"id":"ITEM-1","itemData":{"author":[{"dropping-particle":"","family":"A","given":"Andi Sastria","non-dropping-particle":"","parse-names":false,"suffix":""},{"dropping-particle":"","family":"Astriani","given":"Rani","non-dropping-particle":"","parse-names":false,"suffix":""},{"dropping-particle":"","family":"Roesmono","given":"Bambang","non-dropping-particle":"","parse-names":false,"suffix":""}],"container-title":"Jurnal Ilmiah Kesehatan Diagnosis","id":"ITEM-1","issue":"6","issued":{"date-parts":[["2019"]]},"page":"675-679","title":"Pengaruh Penyulihan Seks Pranikah Terhadap Pengetahuan dan Sikap Remaja","type":"article-journal","volume":"13"},"uris":["http://www.mendeley.com/documents/?uuid=d2505373-27f8-411a-9620-f4e6d9c641bd"]}],"mendeley":{"formattedCitation":"[18]","plainTextFormattedCitation":"[18]","previouslyFormattedCitation":"[18]"},"properties":{"noteIndex":0},"schema":"https://github.com/citation-style-language/schema/raw/master/csl-citation.json"}</w:instrText>
      </w:r>
      <w:r w:rsidR="004956F9">
        <w:rPr>
          <w:color w:val="000000" w:themeColor="text1"/>
        </w:rPr>
        <w:fldChar w:fldCharType="separate"/>
      </w:r>
      <w:r w:rsidR="009E04BE" w:rsidRPr="009E04BE">
        <w:rPr>
          <w:noProof/>
          <w:color w:val="000000" w:themeColor="text1"/>
        </w:rPr>
        <w:t>[18]</w:t>
      </w:r>
      <w:r w:rsidR="004956F9">
        <w:rPr>
          <w:color w:val="000000" w:themeColor="text1"/>
        </w:rPr>
        <w:fldChar w:fldCharType="end"/>
      </w:r>
      <w:r w:rsidRPr="00F21586">
        <w:rPr>
          <w:color w:val="000000" w:themeColor="text1"/>
        </w:rPr>
        <w:t xml:space="preserve">. Before conducting counseling activities that are part of PKPR, respondents behaved well with 69.6%. Whereas after the outreach activities carried out in PKPR, respondents with good attitude became 91.1% and research conducted by Setyorini showed that there was a change in attitude before counseling and </w:t>
      </w:r>
      <w:r w:rsidR="004956F9">
        <w:rPr>
          <w:color w:val="000000" w:themeColor="text1"/>
        </w:rPr>
        <w:t xml:space="preserve">after counseling </w:t>
      </w:r>
      <w:r w:rsidR="004956F9">
        <w:rPr>
          <w:color w:val="000000" w:themeColor="text1"/>
        </w:rPr>
        <w:fldChar w:fldCharType="begin" w:fldLock="1"/>
      </w:r>
      <w:r w:rsidR="009E04BE">
        <w:rPr>
          <w:color w:val="000000" w:themeColor="text1"/>
        </w:rPr>
        <w:instrText>ADDIN CSL_CITATION {"citationItems":[{"id":"ITEM-1","itemData":{"author":[{"dropping-particle":"","family":"Rahayu","given":"Nuzulia","non-dropping-particle":"","parse-names":false,"suffix":""},{"dropping-particle":"","family":"Yusad","given":"Yusniwarti","non-dropping-particle":"","parse-names":false,"suffix":""},{"dropping-particle":"","family":"Lubis","given":"Ria Masniari","non-dropping-particle":"","parse-names":false,"suffix":""}],"container-title":"Jurnal Gizi, Kesehatan Reproduksi dan Epidemiologi","id":"ITEM-1","issue":"5","issued":{"date-parts":[["2013"]]},"page":"1-8","title":"Pengaruh Kegiatan Penyuluhan Dalam Pelayanan Kesehatan Peduli Remaja (PKPR) Terhadap Pengetahuan Dan Sikap Remaja Tentang Seks Pranikah Di SMAN 1 Lubuk Dalam Kabupaten Siak Sri Indrapura Tahun 2013","type":"article-journal","volume":"2"},"uris":["http://www.mendeley.com/documents/?uuid=40ac5a7c-bfbe-4cc7-9917-34e6ea2be4e1"]}],"mendeley":{"formattedCitation":"[15]","plainTextFormattedCitation":"[15]","previouslyFormattedCitation":"[15]"},"properties":{"noteIndex":0},"schema":"https://github.com/citation-style-language/schema/raw/master/csl-citation.json"}</w:instrText>
      </w:r>
      <w:r w:rsidR="004956F9">
        <w:rPr>
          <w:color w:val="000000" w:themeColor="text1"/>
        </w:rPr>
        <w:fldChar w:fldCharType="separate"/>
      </w:r>
      <w:r w:rsidR="009E04BE" w:rsidRPr="009E04BE">
        <w:rPr>
          <w:noProof/>
          <w:color w:val="000000" w:themeColor="text1"/>
        </w:rPr>
        <w:t>[15]</w:t>
      </w:r>
      <w:r w:rsidR="004956F9">
        <w:rPr>
          <w:color w:val="000000" w:themeColor="text1"/>
        </w:rPr>
        <w:fldChar w:fldCharType="end"/>
      </w:r>
      <w:r w:rsidR="009E04BE">
        <w:rPr>
          <w:color w:val="000000" w:themeColor="text1"/>
        </w:rPr>
        <w:fldChar w:fldCharType="begin" w:fldLock="1"/>
      </w:r>
      <w:r w:rsidR="001F5303">
        <w:rPr>
          <w:color w:val="000000" w:themeColor="text1"/>
        </w:rPr>
        <w:instrText>ADDIN CSL_CITATION {"citationItems":[{"id":"ITEM-1","itemData":{"author":[{"dropping-particle":"","family":"Zulfikar","given":"","non-dropping-particle":"","parse-names":false,"suffix":""},{"dropping-particle":"","family":"Kunoli","given":"Firdaus J","non-dropping-particle":"","parse-names":false,"suffix":""},{"dropping-particle":"","family":"Jufri","given":"Muh","non-dropping-particle":"","parse-names":false,"suffix":""},{"dropping-particle":"","family":"Rafiudin","given":"","non-dropping-particle":"","parse-names":false,"suffix":""}],"container-title":"Jurnal Kolaboratif Sains","id":"ITEM-1","issue":"1","issued":{"date-parts":[["2018"]]},"page":"551-558","title":"Pengaruh Pendidikan Kesehatan Tentang Seks Pra Nikah Terhadap Pengetahuan Siswa Di SMA 1 Bolano Lambunu","type":"article-journal","volume":"1"},"uris":["http://www.mendeley.com/documents/?uuid=08092a5e-7ad2-40f3-89d3-206313413245"]}],"mendeley":{"formattedCitation":"[17]","plainTextFormattedCitation":"[17]","previouslyFormattedCitation":"[17]"},"properties":{"noteIndex":0},"schema":"https://github.com/citation-style-language/schema/raw/master/csl-citation.json"}</w:instrText>
      </w:r>
      <w:r w:rsidR="009E04BE">
        <w:rPr>
          <w:color w:val="000000" w:themeColor="text1"/>
        </w:rPr>
        <w:fldChar w:fldCharType="separate"/>
      </w:r>
      <w:r w:rsidR="009E04BE" w:rsidRPr="009E04BE">
        <w:rPr>
          <w:noProof/>
          <w:color w:val="000000" w:themeColor="text1"/>
        </w:rPr>
        <w:t>[17]</w:t>
      </w:r>
      <w:r w:rsidR="009E04BE">
        <w:rPr>
          <w:color w:val="000000" w:themeColor="text1"/>
        </w:rPr>
        <w:fldChar w:fldCharType="end"/>
      </w:r>
      <w:r w:rsidRPr="00F21586">
        <w:rPr>
          <w:color w:val="000000" w:themeColor="text1"/>
        </w:rPr>
        <w:t>.</w:t>
      </w:r>
    </w:p>
    <w:p w:rsidR="00E8573C" w:rsidRPr="00F21586" w:rsidRDefault="00E8573C" w:rsidP="00E8573C">
      <w:pPr>
        <w:pStyle w:val="BodyText"/>
        <w:spacing w:after="0"/>
        <w:ind w:left="284"/>
        <w:jc w:val="both"/>
        <w:rPr>
          <w:color w:val="000000" w:themeColor="text1"/>
        </w:rPr>
      </w:pPr>
      <w:r w:rsidRPr="00F21586">
        <w:rPr>
          <w:color w:val="000000" w:themeColor="text1"/>
        </w:rPr>
        <w:tab/>
        <w:t>Information about the level of adolescent knowledge of early pregnancy is an important part of being able to understand the phenomenon of an increasing number of cases of risky pregnancies. This information is also a feedback on the reproductive health program held in s</w:t>
      </w:r>
      <w:r w:rsidR="004956F9">
        <w:rPr>
          <w:color w:val="000000" w:themeColor="text1"/>
        </w:rPr>
        <w:t>chools</w:t>
      </w:r>
      <w:r w:rsidR="004956F9">
        <w:rPr>
          <w:color w:val="000000" w:themeColor="text1"/>
        </w:rPr>
        <w:fldChar w:fldCharType="begin" w:fldLock="1"/>
      </w:r>
      <w:r w:rsidR="00120769">
        <w:rPr>
          <w:color w:val="000000" w:themeColor="text1"/>
        </w:rPr>
        <w:instrText>ADDIN CSL_CITATION {"citationItems":[{"id":"ITEM-1","itemData":{"ISBN":"9772302139009","author":[{"dropping-particle":"","family":"Dewi","given":"Dewa Ayu Krisna","non-dropping-particle":"","parse-names":false,"suffix":""},{"dropping-particle":"","family":"Lubis","given":"Dinar SM","non-dropping-particle":"","parse-names":false,"suffix":""}],"container-title":"Indonesian Journal of Public Halth","id":"ITEM-1","issue":"1","issued":{"date-parts":[["2012"]]},"page":"63-68","title":"Tingkat pengetahuan dan sikap remaja putri tentang kehamilan usia dini di kota denpasar","type":"article-journal","volume":"1"},"uris":["http://www.mendeley.com/documents/?uuid=f829b8c0-dc1f-4316-acd5-a450093fc1fa"]}],"mendeley":{"formattedCitation":"[8]","plainTextFormattedCitation":"[8]","previouslyFormattedCitation":"[8]"},"properties":{"noteIndex":0},"schema":"https://github.com/citation-style-language/schema/raw/master/csl-citation.json"}</w:instrText>
      </w:r>
      <w:r w:rsidR="004956F9">
        <w:rPr>
          <w:color w:val="000000" w:themeColor="text1"/>
        </w:rPr>
        <w:fldChar w:fldCharType="separate"/>
      </w:r>
      <w:r w:rsidR="004956F9" w:rsidRPr="004956F9">
        <w:rPr>
          <w:noProof/>
          <w:color w:val="000000" w:themeColor="text1"/>
        </w:rPr>
        <w:t>[8]</w:t>
      </w:r>
      <w:r w:rsidR="004956F9">
        <w:rPr>
          <w:color w:val="000000" w:themeColor="text1"/>
        </w:rPr>
        <w:fldChar w:fldCharType="end"/>
      </w:r>
      <w:r w:rsidRPr="00F21586">
        <w:rPr>
          <w:color w:val="000000" w:themeColor="text1"/>
        </w:rPr>
        <w:t>. Knowledge is one of the predisposing factors for a risky pregnancy. Lack of knowledge or limited knowledge about high risk pregnancies and the dangers that will be experienced, will also increase the incidence of high risk pregnancy, behavior and socioeconomic also affect the ris</w:t>
      </w:r>
      <w:r w:rsidR="004956F9">
        <w:rPr>
          <w:color w:val="000000" w:themeColor="text1"/>
        </w:rPr>
        <w:t xml:space="preserve">ks in pregnancy </w:t>
      </w:r>
      <w:r w:rsidR="004956F9">
        <w:rPr>
          <w:color w:val="000000" w:themeColor="text1"/>
        </w:rPr>
        <w:fldChar w:fldCharType="begin" w:fldLock="1"/>
      </w:r>
      <w:r w:rsidR="009E04BE">
        <w:rPr>
          <w:color w:val="000000" w:themeColor="text1"/>
        </w:rPr>
        <w:instrText>ADDIN CSL_CITATION {"citationItems":[{"id":"ITEM-1","itemData":{"author":[{"dropping-particle":"","family":"Septiana","given":"","non-dropping-particle":"","parse-names":false,"suffix":""},{"dropping-particle":"","family":"Tjahjani","given":"Ely","non-dropping-particle":"","parse-names":false,"suffix":""}],"container-title":"Jurnal: Akademi Kebidanan Griya Husada","id":"ITEM-1","issue":"1","issued":{"date-parts":[["2015"]]},"page":"38-43","title":"Kejadian Risiko Kehamilan Berdasarkan Tingkat Pengetahuan Ibu Hamil Trimester III","type":"article-journal","volume":"2"},"uris":["http://www.mendeley.com/documents/?uuid=26fcb4a7-8d75-4a03-a37a-8ec0d2827d83"]}],"mendeley":{"formattedCitation":"[13]","plainTextFormattedCitation":"[13]","previouslyFormattedCitation":"[13]"},"properties":{"noteIndex":0},"schema":"https://github.com/citation-style-language/schema/raw/master/csl-citation.json"}</w:instrText>
      </w:r>
      <w:r w:rsidR="004956F9">
        <w:rPr>
          <w:color w:val="000000" w:themeColor="text1"/>
        </w:rPr>
        <w:fldChar w:fldCharType="separate"/>
      </w:r>
      <w:r w:rsidR="00120769" w:rsidRPr="00120769">
        <w:rPr>
          <w:noProof/>
          <w:color w:val="000000" w:themeColor="text1"/>
        </w:rPr>
        <w:t>[13]</w:t>
      </w:r>
      <w:r w:rsidR="004956F9">
        <w:rPr>
          <w:color w:val="000000" w:themeColor="text1"/>
        </w:rPr>
        <w:fldChar w:fldCharType="end"/>
      </w:r>
      <w:r w:rsidRPr="00F21586">
        <w:rPr>
          <w:color w:val="000000" w:themeColor="text1"/>
        </w:rPr>
        <w:t>.</w:t>
      </w:r>
    </w:p>
    <w:p w:rsidR="00E8573C" w:rsidRPr="00F21586" w:rsidRDefault="00E8573C" w:rsidP="00E8573C">
      <w:pPr>
        <w:pStyle w:val="BodyText"/>
        <w:spacing w:after="0"/>
        <w:ind w:left="284"/>
        <w:jc w:val="both"/>
        <w:rPr>
          <w:color w:val="000000" w:themeColor="text1"/>
        </w:rPr>
      </w:pPr>
      <w:r w:rsidRPr="00F21586">
        <w:rPr>
          <w:color w:val="000000" w:themeColor="text1"/>
        </w:rPr>
        <w:tab/>
        <w:t>Adolescent attitudes about pregnancy are closely related to peer’s relationships. Therefore, students need a peer counselor at school to help improve good adolescent attitudes, especially in preventing risky pregnancies. Peer counseling is an event to complain to each other, pour out their hearts, strengthen each other and motivate each other among fellow students. Counseling basic skills training conducted for PIK-KRR administrators in high school based on modules through reading activities, discussion activities, and practicing activities so that PIK R administrators can have knowledge and insight about the implementation of counseling as an effort to solve problems and can help the implementation of teacher tasks BK in peer relatio</w:t>
      </w:r>
      <w:r w:rsidR="004956F9">
        <w:rPr>
          <w:color w:val="000000" w:themeColor="text1"/>
        </w:rPr>
        <w:t xml:space="preserve">nship services </w:t>
      </w:r>
      <w:r w:rsidR="004956F9">
        <w:rPr>
          <w:color w:val="000000" w:themeColor="text1"/>
        </w:rPr>
        <w:fldChar w:fldCharType="begin" w:fldLock="1"/>
      </w:r>
      <w:r w:rsidR="009E04BE">
        <w:rPr>
          <w:color w:val="000000" w:themeColor="text1"/>
        </w:rPr>
        <w:instrText>ADDIN CSL_CITATION {"citationItems":[{"id":"ITEM-1","itemData":{"author":[{"dropping-particle":"","family":"Rahmawati","given":"Adinuringtyas Herfi","non-dropping-particle":"","parse-names":false,"suffix":""}],"container-title":"E-Journal Bimbingan dan Konseling","id":"ITEM-1","issue":"5","issued":{"date-parts":[["2016"]]},"page":"1-12","title":"PENINGKATAN KETERAMPILAN KONSELING KONSELOR SEBAYA PUSAT INFORMASI DAN KONSELING REMAJA MAN YOGYAKARTA 1","type":"article-journal","volume":"4"},"uris":["http://www.mendeley.com/documents/?uuid=f87bceb7-5895-4e09-805e-ec551a2a9796"]}],"mendeley":{"formattedCitation":"[19]","plainTextFormattedCitation":"[19]","previouslyFormattedCitation":"[19]"},"properties":{"noteIndex":0},"schema":"https://github.com/citation-style-language/schema/raw/master/csl-citation.json"}</w:instrText>
      </w:r>
      <w:r w:rsidR="004956F9">
        <w:rPr>
          <w:color w:val="000000" w:themeColor="text1"/>
        </w:rPr>
        <w:fldChar w:fldCharType="separate"/>
      </w:r>
      <w:r w:rsidR="009E04BE" w:rsidRPr="009E04BE">
        <w:rPr>
          <w:noProof/>
          <w:color w:val="000000" w:themeColor="text1"/>
        </w:rPr>
        <w:t>[19]</w:t>
      </w:r>
      <w:r w:rsidR="004956F9">
        <w:rPr>
          <w:color w:val="000000" w:themeColor="text1"/>
        </w:rPr>
        <w:fldChar w:fldCharType="end"/>
      </w:r>
      <w:r w:rsidRPr="00F21586">
        <w:rPr>
          <w:color w:val="000000" w:themeColor="text1"/>
        </w:rPr>
        <w:t>.</w:t>
      </w:r>
    </w:p>
    <w:p w:rsidR="00E8573C" w:rsidRDefault="00E8573C" w:rsidP="00E8573C">
      <w:pPr>
        <w:pStyle w:val="BodyText"/>
        <w:spacing w:after="0"/>
        <w:ind w:left="284"/>
        <w:jc w:val="both"/>
        <w:rPr>
          <w:color w:val="000000" w:themeColor="text1"/>
        </w:rPr>
      </w:pPr>
      <w:r w:rsidRPr="00F21586">
        <w:rPr>
          <w:color w:val="000000" w:themeColor="text1"/>
        </w:rPr>
        <w:lastRenderedPageBreak/>
        <w:tab/>
        <w:t>Counseling is very important in providing information to the public, especially teenagers who are still at risk of unwanted pregnancy. Notoatmodjo argues that health education is an effort for the public to behave or adopt health behaviors by means of appeal, solicitation, providing information, providing awarene</w:t>
      </w:r>
      <w:r w:rsidR="009E04BE">
        <w:rPr>
          <w:color w:val="000000" w:themeColor="text1"/>
        </w:rPr>
        <w:t xml:space="preserve">ss and so on </w:t>
      </w:r>
      <w:r w:rsidR="001F5303">
        <w:rPr>
          <w:color w:val="000000" w:themeColor="text1"/>
        </w:rPr>
        <w:fldChar w:fldCharType="begin" w:fldLock="1"/>
      </w:r>
      <w:r w:rsidR="001F5303">
        <w:rPr>
          <w:color w:val="000000" w:themeColor="text1"/>
        </w:rPr>
        <w:instrText>ADDIN CSL_CITATION {"citationItems":[{"id":"ITEM-1","itemData":{"author":[{"dropping-particle":"","family":"Zulfikar","given":"","non-dropping-particle":"","parse-names":false,"suffix":""},{"dropping-particle":"","family":"Kunoli","given":"Firdaus J","non-dropping-particle":"","parse-names":false,"suffix":""},{"dropping-particle":"","family":"Jufri","given":"Muh","non-dropping-particle":"","parse-names":false,"suffix":""},{"dropping-particle":"","family":"Rafiudin","given":"","non-dropping-particle":"","parse-names":false,"suffix":""}],"container-title":"Jurnal Kolaboratif Sains","id":"ITEM-1","issue":"1","issued":{"date-parts":[["2018"]]},"page":"551-558","title":"Pengaruh Pendidikan Kesehatan Tentang Seks Pra Nikah Terhadap Pengetahuan Siswa Di SMA 1 Bolano Lambunu","type":"article-journal","volume":"1"},"uris":["http://www.mendeley.com/documents/?uuid=08092a5e-7ad2-40f3-89d3-206313413245"]}],"mendeley":{"formattedCitation":"[17]","plainTextFormattedCitation":"[17]","previouslyFormattedCitation":"[17]"},"properties":{"noteIndex":0},"schema":"https://github.com/citation-style-language/schema/raw/master/csl-citation.json"}</w:instrText>
      </w:r>
      <w:r w:rsidR="001F5303">
        <w:rPr>
          <w:color w:val="000000" w:themeColor="text1"/>
        </w:rPr>
        <w:fldChar w:fldCharType="separate"/>
      </w:r>
      <w:r w:rsidR="001F5303" w:rsidRPr="001F5303">
        <w:rPr>
          <w:noProof/>
          <w:color w:val="000000" w:themeColor="text1"/>
        </w:rPr>
        <w:t>[17]</w:t>
      </w:r>
      <w:r w:rsidR="001F5303">
        <w:rPr>
          <w:color w:val="000000" w:themeColor="text1"/>
        </w:rPr>
        <w:fldChar w:fldCharType="end"/>
      </w:r>
      <w:r w:rsidRPr="00F21586">
        <w:rPr>
          <w:color w:val="000000" w:themeColor="text1"/>
        </w:rPr>
        <w:t>. Counseling can have a positive impact in order to increase knowledge, awareness, willingness and ability of people to live healthy and actively participate in health efforts. Knowledge about risky pregnancy can be influenced by information and knowledge factors obtained from print media, mass media and counseling that have been given. The condition of a supportive school environment for the health of school members such as adequate health facilities and infrastructure, having a UKS that is actively used, will certainly have an impact on good health behavior for school residents.</w:t>
      </w:r>
    </w:p>
    <w:p w:rsidR="00E8573C" w:rsidRPr="00E8573C" w:rsidRDefault="00E8573C" w:rsidP="00E8573C">
      <w:pPr>
        <w:pStyle w:val="BodyText"/>
        <w:spacing w:after="0"/>
        <w:ind w:left="284"/>
        <w:jc w:val="both"/>
        <w:rPr>
          <w:color w:val="000000" w:themeColor="text1"/>
        </w:rPr>
      </w:pPr>
      <w:r>
        <w:rPr>
          <w:color w:val="000000" w:themeColor="text1"/>
        </w:rPr>
        <w:tab/>
      </w:r>
      <w:r w:rsidRPr="00F21586">
        <w:rPr>
          <w:color w:val="000000" w:themeColor="text1"/>
        </w:rPr>
        <w:t>Pregnancy in adolescence has a high medical risk because in adolescence the reproductive organs are not mature enough to perform its function. Active premarital sex in adolescents is at risk for teenage pregnancy and transmission of sexually transmitted diseases. Unplanned pregnancies for adolescent girls can lead to teenage abortion and marriage. Both will have an impact on the future of adolescents and increase risky pregnancies in ado</w:t>
      </w:r>
      <w:r w:rsidR="001F5303">
        <w:rPr>
          <w:color w:val="000000" w:themeColor="text1"/>
        </w:rPr>
        <w:t xml:space="preserve">lescents </w:t>
      </w:r>
      <w:r w:rsidR="001F5303">
        <w:rPr>
          <w:color w:val="000000" w:themeColor="text1"/>
        </w:rPr>
        <w:fldChar w:fldCharType="begin" w:fldLock="1"/>
      </w:r>
      <w:r w:rsidR="001F5303">
        <w:rPr>
          <w:color w:val="000000" w:themeColor="text1"/>
        </w:rPr>
        <w:instrText>ADDIN CSL_CITATION {"citationItems":[{"id":"ITEM-1","itemData":{"author":[{"dropping-particle":"","family":"RI","given":"Kemenkes","non-dropping-particle":"","parse-names":false,"suffix":""}],"editor":[{"dropping-particle":"","family":"Indonesia","given":"Kementrian Kesehatan Republik","non-dropping-particle":"","parse-names":false,"suffix":""}],"id":"ITEM-1","issued":{"date-parts":[["0"]]},"publisher-place":"Jakarta","title":"Infodatin: Situasi Kesehatan Reproduksi Remaja","type":"chapter"},"uris":["http://www.mendeley.com/documents/?uuid=6cd6269b-96f4-4b17-a63f-259dee57bbd7"]}],"mendeley":{"formattedCitation":"[20]","plainTextFormattedCitation":"[20]"},"properties":{"noteIndex":0},"schema":"https://github.com/citation-style-language/schema/raw/master/csl-citation.json"}</w:instrText>
      </w:r>
      <w:r w:rsidR="001F5303">
        <w:rPr>
          <w:color w:val="000000" w:themeColor="text1"/>
        </w:rPr>
        <w:fldChar w:fldCharType="separate"/>
      </w:r>
      <w:r w:rsidR="001F5303" w:rsidRPr="001F5303">
        <w:rPr>
          <w:noProof/>
          <w:color w:val="000000" w:themeColor="text1"/>
        </w:rPr>
        <w:t>[20]</w:t>
      </w:r>
      <w:r w:rsidR="001F5303">
        <w:rPr>
          <w:color w:val="000000" w:themeColor="text1"/>
        </w:rPr>
        <w:fldChar w:fldCharType="end"/>
      </w:r>
      <w:r w:rsidRPr="00F21586">
        <w:rPr>
          <w:color w:val="000000" w:themeColor="text1"/>
        </w:rPr>
        <w:t>.</w:t>
      </w:r>
    </w:p>
    <w:p w:rsidR="00440C79" w:rsidRPr="003D5B84" w:rsidRDefault="00440C79" w:rsidP="00904D6D">
      <w:pPr>
        <w:rPr>
          <w:b/>
          <w:bCs/>
          <w:lang w:val="id-ID"/>
        </w:rPr>
      </w:pPr>
    </w:p>
    <w:p w:rsidR="001111B7" w:rsidRPr="001111B7" w:rsidRDefault="00F33C08" w:rsidP="006C6261">
      <w:pPr>
        <w:numPr>
          <w:ilvl w:val="0"/>
          <w:numId w:val="6"/>
        </w:numPr>
        <w:tabs>
          <w:tab w:val="left" w:pos="426"/>
        </w:tabs>
        <w:ind w:left="426" w:hanging="426"/>
        <w:rPr>
          <w:b/>
          <w:bCs/>
          <w:lang w:val="id-ID"/>
        </w:rPr>
      </w:pPr>
      <w:r w:rsidRPr="003D5B84">
        <w:rPr>
          <w:b/>
          <w:bCs/>
          <w:lang w:val="id-ID"/>
        </w:rPr>
        <w:t>CONCLUSION</w:t>
      </w:r>
    </w:p>
    <w:p w:rsidR="0088233C" w:rsidRPr="005F5AD4" w:rsidRDefault="001111B7" w:rsidP="005F5AD4">
      <w:pPr>
        <w:tabs>
          <w:tab w:val="left" w:pos="0"/>
        </w:tabs>
        <w:jc w:val="both"/>
        <w:rPr>
          <w:b/>
          <w:bCs/>
          <w:lang w:val="id-ID"/>
        </w:rPr>
      </w:pPr>
      <w:r>
        <w:rPr>
          <w:b/>
          <w:bCs/>
        </w:rPr>
        <w:tab/>
      </w:r>
      <w:r w:rsidR="008E3A3A" w:rsidRPr="00227063">
        <w:rPr>
          <w:color w:val="000000" w:themeColor="text1"/>
          <w:lang w:val="id-ID"/>
        </w:rPr>
        <w:t xml:space="preserve">There is an influence of health education on </w:t>
      </w:r>
      <w:r w:rsidR="008E3A3A">
        <w:rPr>
          <w:color w:val="000000" w:themeColor="text1"/>
        </w:rPr>
        <w:t xml:space="preserve">the improvement of </w:t>
      </w:r>
      <w:r w:rsidR="008E3A3A" w:rsidRPr="00227063">
        <w:rPr>
          <w:color w:val="000000" w:themeColor="text1"/>
          <w:lang w:val="id-ID"/>
        </w:rPr>
        <w:t xml:space="preserve">knowledge about risky pregnancy in SMK Muhammadiyah 1 Wonosobo and there is an effect of reproductive health counseling on </w:t>
      </w:r>
      <w:r w:rsidR="008E3A3A">
        <w:rPr>
          <w:color w:val="000000" w:themeColor="text1"/>
        </w:rPr>
        <w:t xml:space="preserve">the improvement of </w:t>
      </w:r>
      <w:r w:rsidR="008E3A3A" w:rsidRPr="00227063">
        <w:rPr>
          <w:color w:val="000000" w:themeColor="text1"/>
          <w:lang w:val="id-ID"/>
        </w:rPr>
        <w:t>attitudes about risky pregnancy at SMK Muhammadiyah 1 Wonosobo</w:t>
      </w:r>
      <w:r w:rsidR="008E3A3A" w:rsidRPr="00FD73B1">
        <w:rPr>
          <w:color w:val="000000" w:themeColor="text1"/>
        </w:rPr>
        <w:t>.</w:t>
      </w:r>
    </w:p>
    <w:p w:rsidR="0088233C" w:rsidRDefault="0088233C" w:rsidP="00904D6D">
      <w:pPr>
        <w:rPr>
          <w:b/>
          <w:bCs/>
        </w:rPr>
      </w:pPr>
    </w:p>
    <w:p w:rsidR="00EA127F" w:rsidRPr="00EE7C89" w:rsidRDefault="00EA127F" w:rsidP="00904D6D">
      <w:pPr>
        <w:rPr>
          <w:b/>
          <w:bCs/>
        </w:rPr>
      </w:pPr>
      <w:bookmarkStart w:id="0" w:name="_GoBack"/>
      <w:bookmarkEnd w:id="0"/>
    </w:p>
    <w:p w:rsidR="002F3D30" w:rsidRDefault="00F33C08" w:rsidP="004309C8">
      <w:pPr>
        <w:rPr>
          <w:rStyle w:val="apple-style-span"/>
          <w:b/>
          <w:color w:val="000000"/>
          <w:lang w:val="pt-BR"/>
        </w:rPr>
      </w:pPr>
      <w:r w:rsidRPr="003D5B84">
        <w:rPr>
          <w:rStyle w:val="apple-style-span"/>
          <w:b/>
          <w:color w:val="000000"/>
          <w:lang w:val="pt-BR"/>
        </w:rPr>
        <w:t>REFERENCES</w:t>
      </w:r>
    </w:p>
    <w:p w:rsidR="001F5303" w:rsidRPr="001F5303" w:rsidRDefault="005F5AD4" w:rsidP="001F5303">
      <w:pPr>
        <w:widowControl w:val="0"/>
        <w:autoSpaceDE w:val="0"/>
        <w:autoSpaceDN w:val="0"/>
        <w:adjustRightInd w:val="0"/>
        <w:ind w:left="640" w:hanging="640"/>
        <w:jc w:val="both"/>
        <w:rPr>
          <w:noProof/>
          <w:szCs w:val="24"/>
        </w:rPr>
      </w:pPr>
      <w:r>
        <w:rPr>
          <w:rStyle w:val="apple-style-span"/>
          <w:b/>
          <w:color w:val="000000"/>
          <w:lang w:val="pt-BR"/>
        </w:rPr>
        <w:fldChar w:fldCharType="begin" w:fldLock="1"/>
      </w:r>
      <w:r>
        <w:rPr>
          <w:rStyle w:val="apple-style-span"/>
          <w:b/>
          <w:color w:val="000000"/>
          <w:lang w:val="pt-BR"/>
        </w:rPr>
        <w:instrText xml:space="preserve">ADDIN Mendeley Bibliography CSL_BIBLIOGRAPHY </w:instrText>
      </w:r>
      <w:r>
        <w:rPr>
          <w:rStyle w:val="apple-style-span"/>
          <w:b/>
          <w:color w:val="000000"/>
          <w:lang w:val="pt-BR"/>
        </w:rPr>
        <w:fldChar w:fldCharType="separate"/>
      </w:r>
      <w:r w:rsidR="001F5303" w:rsidRPr="001F5303">
        <w:rPr>
          <w:noProof/>
          <w:szCs w:val="24"/>
        </w:rPr>
        <w:t>[1]</w:t>
      </w:r>
      <w:r w:rsidR="001F5303" w:rsidRPr="001F5303">
        <w:rPr>
          <w:noProof/>
          <w:szCs w:val="24"/>
        </w:rPr>
        <w:tab/>
        <w:t xml:space="preserve">P. R. Regmi, E. van Teijlingen, P. Simkhada, and D. R. Acharya, “Barriers to Sexual Health Services for Young People in Nepal,” </w:t>
      </w:r>
      <w:r w:rsidR="001F5303" w:rsidRPr="001F5303">
        <w:rPr>
          <w:i/>
          <w:iCs/>
          <w:noProof/>
          <w:szCs w:val="24"/>
        </w:rPr>
        <w:t>J Heal. Popul Nutr</w:t>
      </w:r>
      <w:r w:rsidR="001F5303" w:rsidRPr="001F5303">
        <w:rPr>
          <w:noProof/>
          <w:szCs w:val="24"/>
        </w:rPr>
        <w:t>, vol. 28, no. 6, pp. 619–627, 2010.</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[2]</w:t>
      </w:r>
      <w:r w:rsidRPr="001F5303">
        <w:rPr>
          <w:noProof/>
          <w:szCs w:val="24"/>
        </w:rPr>
        <w:tab/>
        <w:t xml:space="preserve">P. DN, “Pengaruh Pendidikan Kesehatan Metode Peer Group Terhadap Pengetahuan dan Sikap Remaja Putri Tentang Kesehatan Reproduksi,” </w:t>
      </w:r>
      <w:r w:rsidRPr="001F5303">
        <w:rPr>
          <w:i/>
          <w:iCs/>
          <w:noProof/>
          <w:szCs w:val="24"/>
        </w:rPr>
        <w:t>JKep</w:t>
      </w:r>
      <w:r w:rsidRPr="001F5303">
        <w:rPr>
          <w:noProof/>
          <w:szCs w:val="24"/>
        </w:rPr>
        <w:t>, vol. 2, no. 3, 2014.</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[3]</w:t>
      </w:r>
      <w:r w:rsidRPr="001F5303">
        <w:rPr>
          <w:noProof/>
          <w:szCs w:val="24"/>
        </w:rPr>
        <w:tab/>
        <w:t xml:space="preserve">N. K. Febyanti and D. Susilawati, “Hubungan Pengetahuan Ibu Hamil Tentang Antenatal Care Terhadap Perilaku Kunjungan Kehamilan,” </w:t>
      </w:r>
      <w:r w:rsidRPr="001F5303">
        <w:rPr>
          <w:i/>
          <w:iCs/>
          <w:noProof/>
          <w:szCs w:val="24"/>
        </w:rPr>
        <w:t>J. Keperawatan Soedirman (The Soedirman J. Nursing)</w:t>
      </w:r>
      <w:r w:rsidRPr="001F5303">
        <w:rPr>
          <w:noProof/>
          <w:szCs w:val="24"/>
        </w:rPr>
        <w:t>, vol. 7, no. 3, pp. 148–157, 2012.</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[4]</w:t>
      </w:r>
      <w:r w:rsidRPr="001F5303">
        <w:rPr>
          <w:noProof/>
          <w:szCs w:val="24"/>
        </w:rPr>
        <w:tab/>
        <w:t xml:space="preserve">V. J. . Lumempouw, R. M. Kundre, and Y. Bataha, “Hubungan Faktor Sosial Ekonomi Ibu Hamil Dengan Keteraturan Pemeriksaan Antenatal Care (ANC) Di Puskesmas Ranotana Weru Kecamatan Wanea Kota Manado,” </w:t>
      </w:r>
      <w:r w:rsidRPr="001F5303">
        <w:rPr>
          <w:i/>
          <w:iCs/>
          <w:noProof/>
          <w:szCs w:val="24"/>
        </w:rPr>
        <w:t>e-Journal Keperawatan (e-Kp)</w:t>
      </w:r>
      <w:r w:rsidRPr="001F5303">
        <w:rPr>
          <w:noProof/>
          <w:szCs w:val="24"/>
        </w:rPr>
        <w:t>, vol. 4, no. 2, pp. 1–7, 2016.</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[5]</w:t>
      </w:r>
      <w:r w:rsidRPr="001F5303">
        <w:rPr>
          <w:noProof/>
          <w:szCs w:val="24"/>
        </w:rPr>
        <w:tab/>
        <w:t xml:space="preserve">A. Teguh and T. Istiarti, “Hubungan Pengetahuan, Sikap Terhadap Kesehatan Reproduksi Dengan Praktik Seksual Pranikah Pada Mahasiswa Kebidanan Di Politeknik Kesehatan Depkes Semarang,” </w:t>
      </w:r>
      <w:r w:rsidRPr="001F5303">
        <w:rPr>
          <w:i/>
          <w:iCs/>
          <w:noProof/>
          <w:szCs w:val="24"/>
        </w:rPr>
        <w:t>J. Kesehat. Masy.</w:t>
      </w:r>
      <w:r w:rsidRPr="001F5303">
        <w:rPr>
          <w:noProof/>
          <w:szCs w:val="24"/>
        </w:rPr>
        <w:t>, vol. 2, no. 2, pp. 1–10, 2013.</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[6]</w:t>
      </w:r>
      <w:r w:rsidRPr="001F5303">
        <w:rPr>
          <w:noProof/>
          <w:szCs w:val="24"/>
        </w:rPr>
        <w:tab/>
        <w:t>IDAI, “Kesehatan Reproduksi Remaja Dalam Aspek Sosial,” 2017. [Online]. Available: http://www.idai.or.id/artikel/seputar-kesehatan-anak/kesehatan-reproduksi-remaja-dalam-aspek-sosial.</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[7]</w:t>
      </w:r>
      <w:r w:rsidRPr="001F5303">
        <w:rPr>
          <w:noProof/>
          <w:szCs w:val="24"/>
        </w:rPr>
        <w:tab/>
        <w:t xml:space="preserve">B. T. Husodo and L. Widagdo, “PENYULUHAN KESEHATAN REPRODUKSI DI KOTA SEMARANG,” </w:t>
      </w:r>
      <w:r w:rsidRPr="001F5303">
        <w:rPr>
          <w:i/>
          <w:iCs/>
          <w:noProof/>
          <w:szCs w:val="24"/>
        </w:rPr>
        <w:t>MAKARA, Kesehat.</w:t>
      </w:r>
      <w:r w:rsidRPr="001F5303">
        <w:rPr>
          <w:noProof/>
          <w:szCs w:val="24"/>
        </w:rPr>
        <w:t>, vol. 12, no. 2, pp. 59–62, 2008.</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[8]</w:t>
      </w:r>
      <w:r w:rsidRPr="001F5303">
        <w:rPr>
          <w:noProof/>
          <w:szCs w:val="24"/>
        </w:rPr>
        <w:tab/>
        <w:t xml:space="preserve">D. A. K. Dewi and D. S. Lubis, “Tingkat pengetahuan dan sikap remaja putri tentang kehamilan usia dini di kota denpasar,” </w:t>
      </w:r>
      <w:r w:rsidRPr="001F5303">
        <w:rPr>
          <w:i/>
          <w:iCs/>
          <w:noProof/>
          <w:szCs w:val="24"/>
        </w:rPr>
        <w:t>Indones. J. Public Halth</w:t>
      </w:r>
      <w:r w:rsidRPr="001F5303">
        <w:rPr>
          <w:noProof/>
          <w:szCs w:val="24"/>
        </w:rPr>
        <w:t>, vol. 1, no. 1, pp. 63–68, 2012.</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[9]</w:t>
      </w:r>
      <w:r w:rsidRPr="001F5303">
        <w:rPr>
          <w:noProof/>
          <w:szCs w:val="24"/>
        </w:rPr>
        <w:tab/>
        <w:t xml:space="preserve">S. Wulandari, “Perilaku Seksual Pranikah Berisiko Terhadap Kehamilan Tidak Diinginkan Pada Remaja SMKN Tandun Kabupaten Rokan Hulu,” </w:t>
      </w:r>
      <w:r w:rsidRPr="001F5303">
        <w:rPr>
          <w:i/>
          <w:iCs/>
          <w:noProof/>
          <w:szCs w:val="24"/>
        </w:rPr>
        <w:t>J. Matern. Neonatal</w:t>
      </w:r>
      <w:r w:rsidRPr="001F5303">
        <w:rPr>
          <w:noProof/>
          <w:szCs w:val="24"/>
        </w:rPr>
        <w:t>, vol. 2, no. 2, pp. 74–84, 2016.</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[10]</w:t>
      </w:r>
      <w:r w:rsidRPr="001F5303">
        <w:rPr>
          <w:noProof/>
          <w:szCs w:val="24"/>
        </w:rPr>
        <w:tab/>
        <w:t xml:space="preserve">M. Azinar, “Perilaku Seksual Pranikah Berisiko Terhadap Kehamilan Tidak Diinginkan,” </w:t>
      </w:r>
      <w:r w:rsidRPr="001F5303">
        <w:rPr>
          <w:i/>
          <w:iCs/>
          <w:noProof/>
          <w:szCs w:val="24"/>
        </w:rPr>
        <w:t>J. Kesehat. Masy.</w:t>
      </w:r>
      <w:r w:rsidRPr="001F5303">
        <w:rPr>
          <w:noProof/>
          <w:szCs w:val="24"/>
        </w:rPr>
        <w:t>, vol. 8, no. 2, pp. 153–160, 2013.</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[11]</w:t>
      </w:r>
      <w:r w:rsidRPr="001F5303">
        <w:rPr>
          <w:noProof/>
          <w:szCs w:val="24"/>
        </w:rPr>
        <w:tab/>
        <w:t>WHO, “Preventing Early Pregnancy and Poor Reproductive Outcomes,” 2017. [Online]. Available: https://www.who.int/gho/maternal health/en/index.html.</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[12]</w:t>
      </w:r>
      <w:r w:rsidRPr="001F5303">
        <w:rPr>
          <w:noProof/>
          <w:szCs w:val="24"/>
        </w:rPr>
        <w:tab/>
        <w:t xml:space="preserve">D. Sari, “DI PUSKESMAS CIPUTAT KOTA TANGERANG SELATAN TAHUN 2014,” </w:t>
      </w:r>
      <w:r w:rsidRPr="001F5303">
        <w:rPr>
          <w:i/>
          <w:iCs/>
          <w:noProof/>
          <w:szCs w:val="24"/>
        </w:rPr>
        <w:t>ARKESMAS</w:t>
      </w:r>
      <w:r w:rsidRPr="001F5303">
        <w:rPr>
          <w:noProof/>
          <w:szCs w:val="24"/>
        </w:rPr>
        <w:t>, vol. 1, no. 1, pp. 4–17, 2016.</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[13]</w:t>
      </w:r>
      <w:r w:rsidRPr="001F5303">
        <w:rPr>
          <w:noProof/>
          <w:szCs w:val="24"/>
        </w:rPr>
        <w:tab/>
        <w:t xml:space="preserve">Septiana and E. Tjahjani, “Kejadian Risiko Kehamilan Berdasarkan Tingkat Pengetahuan Ibu Hamil Trimester III,” </w:t>
      </w:r>
      <w:r w:rsidRPr="001F5303">
        <w:rPr>
          <w:i/>
          <w:iCs/>
          <w:noProof/>
          <w:szCs w:val="24"/>
        </w:rPr>
        <w:t>J. Akad. Kebidanan Griya Husada</w:t>
      </w:r>
      <w:r w:rsidRPr="001F5303">
        <w:rPr>
          <w:noProof/>
          <w:szCs w:val="24"/>
        </w:rPr>
        <w:t>, vol. 2, no. 1, pp. 38–43, 2015.</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[14]</w:t>
      </w:r>
      <w:r w:rsidRPr="001F5303">
        <w:rPr>
          <w:noProof/>
          <w:szCs w:val="24"/>
        </w:rPr>
        <w:tab/>
        <w:t xml:space="preserve">A. S, </w:t>
      </w:r>
      <w:r w:rsidRPr="001F5303">
        <w:rPr>
          <w:i/>
          <w:iCs/>
          <w:noProof/>
          <w:szCs w:val="24"/>
        </w:rPr>
        <w:t>Sikap Manusia Teori dan Pengukurannya</w:t>
      </w:r>
      <w:r w:rsidRPr="001F5303">
        <w:rPr>
          <w:noProof/>
          <w:szCs w:val="24"/>
        </w:rPr>
        <w:t>. Yogyakarta, 2011.</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[15]</w:t>
      </w:r>
      <w:r w:rsidRPr="001F5303">
        <w:rPr>
          <w:noProof/>
          <w:szCs w:val="24"/>
        </w:rPr>
        <w:tab/>
        <w:t xml:space="preserve">N. Rahayu, Y. Yusad, and R. M. Lubis, “Pengaruh Kegiatan Penyuluhan Dalam Pelayanan Kesehatan Peduli Remaja (PKPR) Terhadap Pengetahuan Dan Sikap Remaja Tentang Seks Pranikah Di SMAN 1 Lubuk Dalam Kabupaten Siak Sri Indrapura Tahun 2013,” </w:t>
      </w:r>
      <w:r w:rsidRPr="001F5303">
        <w:rPr>
          <w:i/>
          <w:iCs/>
          <w:noProof/>
          <w:szCs w:val="24"/>
        </w:rPr>
        <w:t>J. Gizi, Kesehat. Reproduksi dan Epidemiol.</w:t>
      </w:r>
      <w:r w:rsidRPr="001F5303">
        <w:rPr>
          <w:noProof/>
          <w:szCs w:val="24"/>
        </w:rPr>
        <w:t>, vol. 2, no. 5, pp. 1–8, 2013.</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[16]</w:t>
      </w:r>
      <w:r w:rsidRPr="001F5303">
        <w:rPr>
          <w:noProof/>
          <w:szCs w:val="24"/>
        </w:rPr>
        <w:tab/>
        <w:t xml:space="preserve">W. Bachruddin, F. Kalalo, and R. Kundre, “Pengaruh Penyuluhan Tentang Bahaya Seks Bebas Terhadap Pengetahuan Remaja Tentang Seks Bebas Di SMA Negeri Binsus 9 Manado,” </w:t>
      </w:r>
      <w:r w:rsidRPr="001F5303">
        <w:rPr>
          <w:i/>
          <w:iCs/>
          <w:noProof/>
          <w:szCs w:val="24"/>
        </w:rPr>
        <w:t xml:space="preserve">e-Journal </w:t>
      </w:r>
      <w:r w:rsidRPr="001F5303">
        <w:rPr>
          <w:i/>
          <w:iCs/>
          <w:noProof/>
          <w:szCs w:val="24"/>
        </w:rPr>
        <w:lastRenderedPageBreak/>
        <w:t>Keperawatan (e-Kp)</w:t>
      </w:r>
      <w:r w:rsidRPr="001F5303">
        <w:rPr>
          <w:noProof/>
          <w:szCs w:val="24"/>
        </w:rPr>
        <w:t>, vol. 5, no. 1, pp. 1–7, 2017.</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[17]</w:t>
      </w:r>
      <w:r w:rsidRPr="001F5303">
        <w:rPr>
          <w:noProof/>
          <w:szCs w:val="24"/>
        </w:rPr>
        <w:tab/>
        <w:t xml:space="preserve">Zulfikar, F. J. Kunoli, M. Jufri, and Rafiudin, “Pengaruh Pendidikan Kesehatan Tentang Seks Pra Nikah Terhadap Pengetahuan Siswa Di SMA 1 Bolano Lambunu,” </w:t>
      </w:r>
      <w:r w:rsidRPr="001F5303">
        <w:rPr>
          <w:i/>
          <w:iCs/>
          <w:noProof/>
          <w:szCs w:val="24"/>
        </w:rPr>
        <w:t>J. Kolaboratif Sains</w:t>
      </w:r>
      <w:r w:rsidRPr="001F5303">
        <w:rPr>
          <w:noProof/>
          <w:szCs w:val="24"/>
        </w:rPr>
        <w:t>, vol. 1, no. 1, pp. 551–558, 2018.</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[18]</w:t>
      </w:r>
      <w:r w:rsidRPr="001F5303">
        <w:rPr>
          <w:noProof/>
          <w:szCs w:val="24"/>
        </w:rPr>
        <w:tab/>
        <w:t xml:space="preserve">A. S. A, R. Astriani, and B. Roesmono, “Pengaruh Penyulihan Seks Pranikah Terhadap Pengetahuan dan Sikap Remaja,” </w:t>
      </w:r>
      <w:r w:rsidRPr="001F5303">
        <w:rPr>
          <w:i/>
          <w:iCs/>
          <w:noProof/>
          <w:szCs w:val="24"/>
        </w:rPr>
        <w:t>J. Ilm. Kesehat. Diagnosis</w:t>
      </w:r>
      <w:r w:rsidRPr="001F5303">
        <w:rPr>
          <w:noProof/>
          <w:szCs w:val="24"/>
        </w:rPr>
        <w:t>, vol. 13, no. 6, pp. 675–679, 2019.</w:t>
      </w:r>
    </w:p>
    <w:p w:rsidR="001F5303" w:rsidRPr="001F5303" w:rsidRDefault="001F5303" w:rsidP="001F5303">
      <w:pPr>
        <w:widowControl w:val="0"/>
        <w:autoSpaceDE w:val="0"/>
        <w:autoSpaceDN w:val="0"/>
        <w:adjustRightInd w:val="0"/>
        <w:ind w:left="640" w:hanging="640"/>
        <w:jc w:val="both"/>
        <w:rPr>
          <w:noProof/>
          <w:szCs w:val="24"/>
        </w:rPr>
      </w:pPr>
      <w:r w:rsidRPr="001F5303">
        <w:rPr>
          <w:noProof/>
          <w:szCs w:val="24"/>
        </w:rPr>
        <w:t>[19]</w:t>
      </w:r>
      <w:r w:rsidRPr="001F5303">
        <w:rPr>
          <w:noProof/>
          <w:szCs w:val="24"/>
        </w:rPr>
        <w:tab/>
        <w:t xml:space="preserve">A. H. Rahmawati, “PENINGKATAN KETERAMPILAN KONSELING KONSELOR SEBAYA PUSAT INFORMASI DAN KONSELING REMAJA MAN YOGYAKARTA 1,” </w:t>
      </w:r>
      <w:r w:rsidRPr="001F5303">
        <w:rPr>
          <w:i/>
          <w:iCs/>
          <w:noProof/>
          <w:szCs w:val="24"/>
        </w:rPr>
        <w:t>E-Journal Bimbing. dan Konseling</w:t>
      </w:r>
      <w:r w:rsidRPr="001F5303">
        <w:rPr>
          <w:noProof/>
          <w:szCs w:val="24"/>
        </w:rPr>
        <w:t>, vol. 4, no. 5, pp. 1–12, 2016.</w:t>
      </w:r>
    </w:p>
    <w:p w:rsidR="001F5303" w:rsidRPr="001F5303" w:rsidRDefault="001F5303" w:rsidP="001F5303">
      <w:pPr>
        <w:widowControl w:val="0"/>
        <w:autoSpaceDE w:val="0"/>
        <w:autoSpaceDN w:val="0"/>
        <w:adjustRightInd w:val="0"/>
        <w:ind w:left="640" w:hanging="640"/>
        <w:jc w:val="both"/>
        <w:rPr>
          <w:noProof/>
        </w:rPr>
      </w:pPr>
      <w:r w:rsidRPr="001F5303">
        <w:rPr>
          <w:noProof/>
          <w:szCs w:val="24"/>
        </w:rPr>
        <w:t>[20]</w:t>
      </w:r>
      <w:r w:rsidRPr="001F5303">
        <w:rPr>
          <w:noProof/>
          <w:szCs w:val="24"/>
        </w:rPr>
        <w:tab/>
        <w:t>K. RI, “Infodatin: Situasi Kesehatan Reproduksi Remaja,” K. K. R. Indonesia, Ed. Jakarta.</w:t>
      </w:r>
    </w:p>
    <w:p w:rsidR="005F5AD4" w:rsidRDefault="005F5AD4" w:rsidP="005F5AD4">
      <w:pPr>
        <w:jc w:val="both"/>
        <w:rPr>
          <w:rStyle w:val="apple-style-span"/>
          <w:b/>
          <w:color w:val="000000"/>
          <w:lang w:val="pt-BR"/>
        </w:rPr>
      </w:pPr>
      <w:r>
        <w:rPr>
          <w:rStyle w:val="apple-style-span"/>
          <w:b/>
          <w:color w:val="000000"/>
          <w:lang w:val="pt-BR"/>
        </w:rPr>
        <w:fldChar w:fldCharType="end"/>
      </w:r>
    </w:p>
    <w:p w:rsidR="004309C8" w:rsidRDefault="004309C8" w:rsidP="00EA5ED8">
      <w:pPr>
        <w:jc w:val="both"/>
        <w:rPr>
          <w:color w:val="000000"/>
          <w:lang w:val="pt-BR"/>
        </w:rPr>
      </w:pPr>
    </w:p>
    <w:p w:rsidR="004309C8" w:rsidRPr="004309C8" w:rsidRDefault="004309C8" w:rsidP="004309C8">
      <w:pPr>
        <w:rPr>
          <w:color w:val="000000"/>
          <w:lang w:val="pt-BR"/>
        </w:rPr>
      </w:pPr>
    </w:p>
    <w:p w:rsidR="00DC341B" w:rsidRDefault="00DC341B" w:rsidP="00C35B8F">
      <w:pPr>
        <w:jc w:val="both"/>
        <w:rPr>
          <w:color w:val="000000"/>
          <w:sz w:val="18"/>
          <w:szCs w:val="18"/>
        </w:rPr>
      </w:pPr>
    </w:p>
    <w:p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w:t>
      </w:r>
    </w:p>
    <w:p w:rsidR="00231A19" w:rsidRDefault="00231A19" w:rsidP="00231A19">
      <w:pPr>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237"/>
      </w:tblGrid>
      <w:tr w:rsidR="00231A19" w:rsidTr="007264E3">
        <w:trPr>
          <w:trHeight w:val="2769"/>
        </w:trPr>
        <w:tc>
          <w:tcPr>
            <w:tcW w:w="2547" w:type="dxa"/>
          </w:tcPr>
          <w:p w:rsidR="00231A19" w:rsidRPr="00231A19" w:rsidRDefault="00231A19" w:rsidP="00A47AD5">
            <w:pPr>
              <w:rPr>
                <w:color w:val="000000"/>
                <w:lang w:val="pt-BR"/>
              </w:rPr>
            </w:pPr>
          </w:p>
          <w:p w:rsidR="00231A19" w:rsidRPr="00231A19" w:rsidRDefault="00F41B74" w:rsidP="00A47AD5">
            <w:pPr>
              <w:jc w:val="center"/>
              <w:rPr>
                <w:color w:val="000000"/>
                <w:lang w:val="pt-BR"/>
              </w:rPr>
            </w:pPr>
            <w:r>
              <w:rPr>
                <w:noProof/>
                <w:color w:val="000000"/>
                <w:lang w:val="id-ID" w:eastAsia="id-ID"/>
              </w:rPr>
              <w:drawing>
                <wp:inline distT="0" distB="0" distL="0" distR="0" wp14:anchorId="7648EAD8" wp14:editId="6666634B">
                  <wp:extent cx="1254873" cy="1440000"/>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190731-WA0009.jpg"/>
                          <pic:cNvPicPr/>
                        </pic:nvPicPr>
                        <pic:blipFill rotWithShape="1">
                          <a:blip r:embed="rId10">
                            <a:extLst>
                              <a:ext uri="{28A0092B-C50C-407E-A947-70E740481C1C}">
                                <a14:useLocalDpi xmlns:a14="http://schemas.microsoft.com/office/drawing/2010/main" val="0"/>
                              </a:ext>
                            </a:extLst>
                          </a:blip>
                          <a:srcRect t="1" b="27104"/>
                          <a:stretch/>
                        </pic:blipFill>
                        <pic:spPr bwMode="auto">
                          <a:xfrm>
                            <a:off x="0" y="0"/>
                            <a:ext cx="1254873"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6237" w:type="dxa"/>
          </w:tcPr>
          <w:p w:rsidR="007264E3" w:rsidRPr="007264E3" w:rsidRDefault="00EA5ED8" w:rsidP="00A47AD5">
            <w:pPr>
              <w:rPr>
                <w:color w:val="000000"/>
                <w:lang w:val="id-ID"/>
              </w:rPr>
            </w:pPr>
            <w:r w:rsidRPr="00EA5ED8">
              <w:rPr>
                <w:color w:val="000000"/>
                <w:lang w:val="id-ID"/>
              </w:rPr>
              <w:t>My name is Suci Musvita Ayu, I'm a lecturer at the Faculty of Public Health, Ahmad Dahlan University, Yogyakarta</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7264E3">
        <w:tc>
          <w:tcPr>
            <w:tcW w:w="2547" w:type="dxa"/>
          </w:tcPr>
          <w:p w:rsidR="00A47AD5" w:rsidRPr="007264E3" w:rsidRDefault="00A47AD5" w:rsidP="00A47AD5">
            <w:pPr>
              <w:rPr>
                <w:color w:val="000000"/>
                <w:lang w:val="id-ID"/>
              </w:rPr>
            </w:pPr>
          </w:p>
        </w:tc>
        <w:tc>
          <w:tcPr>
            <w:tcW w:w="6237" w:type="dxa"/>
          </w:tcPr>
          <w:p w:rsidR="00A47AD5" w:rsidRPr="00231A19" w:rsidRDefault="00A47AD5" w:rsidP="00A47AD5">
            <w:pPr>
              <w:jc w:val="both"/>
              <w:rPr>
                <w:color w:val="000000"/>
                <w:sz w:val="18"/>
                <w:szCs w:val="18"/>
              </w:rPr>
            </w:pPr>
          </w:p>
        </w:tc>
      </w:tr>
      <w:tr w:rsidR="00231A19" w:rsidTr="00AD4003">
        <w:trPr>
          <w:trHeight w:val="2727"/>
        </w:trPr>
        <w:tc>
          <w:tcPr>
            <w:tcW w:w="2547" w:type="dxa"/>
            <w:vAlign w:val="center"/>
          </w:tcPr>
          <w:p w:rsidR="00231A19" w:rsidRPr="00231A19" w:rsidRDefault="00231A19" w:rsidP="00AD4003">
            <w:pPr>
              <w:jc w:val="center"/>
              <w:rPr>
                <w:color w:val="000000"/>
                <w:lang w:val="pt-BR"/>
              </w:rPr>
            </w:pPr>
          </w:p>
          <w:p w:rsidR="00231A19" w:rsidRPr="00231A19" w:rsidRDefault="00AD4003" w:rsidP="00AD4003">
            <w:pPr>
              <w:jc w:val="center"/>
              <w:rPr>
                <w:color w:val="000000"/>
                <w:lang w:val="pt-BR"/>
              </w:rPr>
            </w:pPr>
            <w:r>
              <w:rPr>
                <w:noProof/>
                <w:color w:val="000000"/>
                <w:lang w:val="id-ID" w:eastAsia="id-ID"/>
              </w:rPr>
              <w:drawing>
                <wp:inline distT="0" distB="0" distL="0" distR="0" wp14:anchorId="26593D38" wp14:editId="488E5D24">
                  <wp:extent cx="1480185" cy="179451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png"/>
                          <pic:cNvPicPr/>
                        </pic:nvPicPr>
                        <pic:blipFill>
                          <a:blip r:embed="rId11">
                            <a:extLst>
                              <a:ext uri="{28A0092B-C50C-407E-A947-70E740481C1C}">
                                <a14:useLocalDpi xmlns:a14="http://schemas.microsoft.com/office/drawing/2010/main" val="0"/>
                              </a:ext>
                            </a:extLst>
                          </a:blip>
                          <a:stretch>
                            <a:fillRect/>
                          </a:stretch>
                        </pic:blipFill>
                        <pic:spPr>
                          <a:xfrm>
                            <a:off x="0" y="0"/>
                            <a:ext cx="1480185" cy="1794510"/>
                          </a:xfrm>
                          <a:prstGeom prst="rect">
                            <a:avLst/>
                          </a:prstGeom>
                        </pic:spPr>
                      </pic:pic>
                    </a:graphicData>
                  </a:graphic>
                </wp:inline>
              </w:drawing>
            </w:r>
          </w:p>
          <w:p w:rsidR="00231A19" w:rsidRPr="00231A19" w:rsidRDefault="00231A19" w:rsidP="00AD4003">
            <w:pPr>
              <w:jc w:val="center"/>
              <w:rPr>
                <w:color w:val="000000"/>
                <w:lang w:val="pt-BR"/>
              </w:rPr>
            </w:pPr>
          </w:p>
        </w:tc>
        <w:tc>
          <w:tcPr>
            <w:tcW w:w="6237" w:type="dxa"/>
          </w:tcPr>
          <w:p w:rsidR="00EA5ED8" w:rsidRPr="007264E3" w:rsidRDefault="0090038E" w:rsidP="00EA5ED8">
            <w:pPr>
              <w:rPr>
                <w:color w:val="000000"/>
                <w:lang w:val="id-ID"/>
              </w:rPr>
            </w:pPr>
            <w:r>
              <w:rPr>
                <w:color w:val="000000"/>
                <w:lang w:val="id-ID"/>
              </w:rPr>
              <w:t xml:space="preserve">My name is Lindawati S, I'm a college student </w:t>
            </w:r>
            <w:r w:rsidR="00EA5ED8" w:rsidRPr="00EA5ED8">
              <w:rPr>
                <w:color w:val="000000"/>
                <w:lang w:val="id-ID"/>
              </w:rPr>
              <w:t>at the Faculty of Public Health, Ahmad Dahlan University, Yogyakarta</w:t>
            </w: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7264E3">
        <w:tc>
          <w:tcPr>
            <w:tcW w:w="2547" w:type="dxa"/>
          </w:tcPr>
          <w:p w:rsidR="00A47AD5" w:rsidRPr="00231A19" w:rsidRDefault="00A47AD5" w:rsidP="00A47AD5">
            <w:pPr>
              <w:rPr>
                <w:color w:val="000000"/>
                <w:lang w:val="pt-BR"/>
              </w:rPr>
            </w:pPr>
          </w:p>
        </w:tc>
        <w:tc>
          <w:tcPr>
            <w:tcW w:w="6237" w:type="dxa"/>
          </w:tcPr>
          <w:p w:rsidR="00A47AD5" w:rsidRPr="00231A19" w:rsidRDefault="00A47AD5" w:rsidP="00A47AD5">
            <w:pPr>
              <w:jc w:val="both"/>
              <w:rPr>
                <w:color w:val="000000"/>
                <w:sz w:val="18"/>
                <w:szCs w:val="18"/>
              </w:rPr>
            </w:pPr>
          </w:p>
        </w:tc>
      </w:tr>
      <w:tr w:rsidR="00231A19" w:rsidTr="007264E3">
        <w:trPr>
          <w:trHeight w:val="2779"/>
        </w:trPr>
        <w:tc>
          <w:tcPr>
            <w:tcW w:w="2547" w:type="dxa"/>
          </w:tcPr>
          <w:p w:rsidR="00231A19" w:rsidRPr="00231A19" w:rsidRDefault="00231A19" w:rsidP="00A47AD5">
            <w:pPr>
              <w:rPr>
                <w:color w:val="000000"/>
                <w:lang w:val="pt-BR"/>
              </w:rPr>
            </w:pPr>
          </w:p>
          <w:p w:rsidR="00231A19" w:rsidRPr="00231A19" w:rsidRDefault="0090038E" w:rsidP="007264E3">
            <w:pPr>
              <w:jc w:val="center"/>
              <w:rPr>
                <w:color w:val="000000"/>
                <w:lang w:val="pt-BR"/>
              </w:rPr>
            </w:pPr>
            <w:r>
              <w:rPr>
                <w:noProof/>
                <w:color w:val="000000"/>
                <w:lang w:val="id-ID" w:eastAsia="id-ID"/>
              </w:rPr>
              <w:drawing>
                <wp:inline distT="0" distB="0" distL="0" distR="0">
                  <wp:extent cx="1480185" cy="1973580"/>
                  <wp:effectExtent l="0" t="0" r="571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 Foto.jpg"/>
                          <pic:cNvPicPr/>
                        </pic:nvPicPr>
                        <pic:blipFill>
                          <a:blip r:embed="rId12">
                            <a:extLst>
                              <a:ext uri="{28A0092B-C50C-407E-A947-70E740481C1C}">
                                <a14:useLocalDpi xmlns:a14="http://schemas.microsoft.com/office/drawing/2010/main" val="0"/>
                              </a:ext>
                            </a:extLst>
                          </a:blip>
                          <a:stretch>
                            <a:fillRect/>
                          </a:stretch>
                        </pic:blipFill>
                        <pic:spPr>
                          <a:xfrm>
                            <a:off x="0" y="0"/>
                            <a:ext cx="1480185" cy="1973580"/>
                          </a:xfrm>
                          <a:prstGeom prst="rect">
                            <a:avLst/>
                          </a:prstGeom>
                        </pic:spPr>
                      </pic:pic>
                    </a:graphicData>
                  </a:graphic>
                </wp:inline>
              </w:drawing>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6237" w:type="dxa"/>
          </w:tcPr>
          <w:p w:rsidR="00EA5ED8" w:rsidRPr="007264E3" w:rsidRDefault="0090038E" w:rsidP="00EA5ED8">
            <w:pPr>
              <w:rPr>
                <w:color w:val="000000"/>
                <w:lang w:val="id-ID"/>
              </w:rPr>
            </w:pPr>
            <w:r>
              <w:rPr>
                <w:color w:val="000000"/>
                <w:lang w:val="id-ID"/>
              </w:rPr>
              <w:lastRenderedPageBreak/>
              <w:t xml:space="preserve">My name is Thoharoh Halimatusa’diyah, I'm a college student </w:t>
            </w:r>
            <w:r w:rsidR="00EA5ED8" w:rsidRPr="00EA5ED8">
              <w:rPr>
                <w:color w:val="000000"/>
                <w:lang w:val="id-ID"/>
              </w:rPr>
              <w:t>at the Faculty of Public Health, Ahmad Dahlan University, Yogyakarta</w:t>
            </w:r>
          </w:p>
          <w:p w:rsidR="00231A19" w:rsidRPr="007264E3" w:rsidRDefault="00231A19" w:rsidP="00EA5ED8">
            <w:pPr>
              <w:rPr>
                <w:color w:val="000000"/>
                <w:sz w:val="18"/>
                <w:szCs w:val="18"/>
              </w:rPr>
            </w:pPr>
          </w:p>
        </w:tc>
      </w:tr>
    </w:tbl>
    <w:p w:rsidR="00231A19" w:rsidRDefault="00231A19" w:rsidP="00231A19">
      <w:pPr>
        <w:jc w:val="both"/>
        <w:rPr>
          <w:color w:val="000000"/>
          <w:sz w:val="18"/>
          <w:szCs w:val="18"/>
        </w:rPr>
      </w:pPr>
    </w:p>
    <w:sectPr w:rsidR="00231A19" w:rsidSect="0085352C">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D6" w:rsidRDefault="00BB6BD6">
      <w:r>
        <w:separator/>
      </w:r>
    </w:p>
  </w:endnote>
  <w:endnote w:type="continuationSeparator" w:id="0">
    <w:p w:rsidR="00BB6BD6" w:rsidRDefault="00BB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F9" w:rsidRPr="003D5B84" w:rsidRDefault="004956F9"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61312" behindDoc="0" locked="0" layoutInCell="1" allowOverlap="1" wp14:anchorId="0BC689E1" wp14:editId="5AA4438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347BB1"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Pr>
        <w:noProof/>
      </w:rPr>
      <w:t xml:space="preserve">Int. </w:t>
    </w:r>
    <w:r w:rsidRPr="00A27BF0">
      <w:rPr>
        <w:noProof/>
      </w:rPr>
      <w:t>J</w:t>
    </w:r>
    <w:r>
      <w:rPr>
        <w:noProof/>
      </w:rPr>
      <w:t>.</w:t>
    </w:r>
    <w:r w:rsidRPr="00A27BF0">
      <w:rPr>
        <w:noProof/>
      </w:rPr>
      <w:t xml:space="preserve"> Eval</w:t>
    </w:r>
    <w:r>
      <w:rPr>
        <w:noProof/>
      </w:rPr>
      <w:t>.</w:t>
    </w:r>
    <w:r w:rsidRPr="00A27BF0">
      <w:rPr>
        <w:noProof/>
      </w:rPr>
      <w:t xml:space="preserve"> &amp; Res</w:t>
    </w:r>
    <w:r>
      <w:rPr>
        <w:noProof/>
      </w:rPr>
      <w:t>.</w:t>
    </w:r>
    <w:r w:rsidRPr="00A27BF0">
      <w:rPr>
        <w:noProof/>
      </w:rPr>
      <w:t xml:space="preserve"> Educ</w:t>
    </w:r>
    <w:r>
      <w:rPr>
        <w:noProof/>
      </w:rPr>
      <w:t xml:space="preserve">. </w:t>
    </w:r>
    <w:r w:rsidRPr="003D5B84">
      <w:t xml:space="preserve">Vol. </w:t>
    </w:r>
    <w:r>
      <w:t>8</w:t>
    </w:r>
    <w:r w:rsidRPr="003D5B84">
      <w:t xml:space="preserve">, No. </w:t>
    </w:r>
    <w:r>
      <w:t>2</w:t>
    </w:r>
    <w:r w:rsidRPr="003D5B84">
      <w:t xml:space="preserve">, </w:t>
    </w:r>
    <w:r>
      <w:t>June 2019</w:t>
    </w:r>
    <w:r w:rsidRPr="003D5B84">
      <w:t>:  xx</w:t>
    </w:r>
    <w:r>
      <w:t xml:space="preserve"> -</w:t>
    </w:r>
    <w:r w:rsidRPr="003D5B84">
      <w:t xml:space="preserve">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F9" w:rsidRPr="00C07BEF" w:rsidRDefault="004956F9"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F9" w:rsidRPr="003D5B84" w:rsidRDefault="004956F9"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w:t>
    </w:r>
    <w:r w:rsidRPr="00C854C1">
      <w:rPr>
        <w:i/>
        <w:szCs w:val="18"/>
      </w:rPr>
      <w:t>.com/</w:t>
    </w:r>
    <w:r>
      <w:rPr>
        <w:i/>
        <w:szCs w:val="18"/>
      </w:rPr>
      <w:t>journals</w:t>
    </w:r>
    <w:r w:rsidRPr="00C854C1">
      <w:rPr>
        <w:i/>
        <w:szCs w:val="18"/>
      </w:rPr>
      <w:t>/index.php/IJE</w:t>
    </w:r>
    <w:r>
      <w:rPr>
        <w:i/>
        <w:szCs w:val="18"/>
      </w:rPr>
      <w:t>R</w:t>
    </w:r>
    <w:r w:rsidRPr="00C854C1">
      <w:rPr>
        <w:i/>
        <w:szCs w:val="18"/>
      </w:rPr>
      <w: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D6" w:rsidRDefault="00BB6BD6">
      <w:r>
        <w:separator/>
      </w:r>
    </w:p>
  </w:footnote>
  <w:footnote w:type="continuationSeparator" w:id="0">
    <w:p w:rsidR="00BB6BD6" w:rsidRDefault="00BB6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F9" w:rsidRPr="003D5B84" w:rsidRDefault="004956F9"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B36722">
      <w:rPr>
        <w:rStyle w:val="PageNumber"/>
        <w:noProof/>
      </w:rPr>
      <w:t>108</w:t>
    </w:r>
    <w:r w:rsidRPr="003D5B84">
      <w:rPr>
        <w:rStyle w:val="PageNumber"/>
      </w:rPr>
      <w:fldChar w:fldCharType="end"/>
    </w:r>
  </w:p>
  <w:p w:rsidR="004956F9" w:rsidRPr="003D5B84" w:rsidRDefault="004956F9"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5680"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917ECD"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34A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F9" w:rsidRPr="003D5B84" w:rsidRDefault="004956F9"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B36722">
      <w:rPr>
        <w:rStyle w:val="PageNumber"/>
        <w:noProof/>
      </w:rPr>
      <w:t>109</w:t>
    </w:r>
    <w:r w:rsidRPr="003D5B84">
      <w:rPr>
        <w:rStyle w:val="PageNumber"/>
      </w:rPr>
      <w:fldChar w:fldCharType="end"/>
    </w:r>
  </w:p>
  <w:p w:rsidR="004956F9" w:rsidRPr="003D5B84" w:rsidRDefault="004956F9" w:rsidP="00C07BEF">
    <w:pPr>
      <w:pStyle w:val="Header"/>
      <w:pBdr>
        <w:bottom w:val="single" w:sz="4" w:space="1" w:color="auto"/>
      </w:pBdr>
      <w:tabs>
        <w:tab w:val="clear" w:pos="4320"/>
        <w:tab w:val="clear" w:pos="8640"/>
        <w:tab w:val="left" w:pos="0"/>
        <w:tab w:val="center" w:pos="4301"/>
        <w:tab w:val="left" w:pos="7938"/>
      </w:tabs>
    </w:pPr>
    <w:proofErr w:type="spellStart"/>
    <w:r w:rsidRPr="00A27BF0">
      <w:t>Int</w:t>
    </w:r>
    <w:proofErr w:type="spellEnd"/>
    <w:r w:rsidRPr="00A27BF0">
      <w:t xml:space="preserve"> J </w:t>
    </w:r>
    <w:proofErr w:type="spellStart"/>
    <w:r w:rsidRPr="00A27BF0">
      <w:t>Eval</w:t>
    </w:r>
    <w:proofErr w:type="spellEnd"/>
    <w:r w:rsidRPr="00A27BF0">
      <w:t xml:space="preserve"> &amp; Res Educ</w:t>
    </w:r>
    <w:r>
      <w:t>.</w:t>
    </w:r>
    <w:r w:rsidRPr="003D5B84">
      <w:t xml:space="preserve"> </w:t>
    </w:r>
    <w:r w:rsidRPr="003D5B84">
      <w:tab/>
      <w:t xml:space="preserve">ISSN: </w:t>
    </w:r>
    <w:r w:rsidRPr="009C34A6">
      <w:t>2252-8822</w:t>
    </w:r>
    <w:r w:rsidRPr="003D5B84">
      <w:tab/>
    </w:r>
    <w:r>
      <w:sym w:font="Wingdings" w:char="F072"/>
    </w:r>
  </w:p>
  <w:p w:rsidR="004956F9" w:rsidRPr="003D5B84" w:rsidRDefault="004956F9"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F9" w:rsidRPr="003D5B84" w:rsidRDefault="004956F9" w:rsidP="008B04B3">
    <w:pPr>
      <w:pStyle w:val="Header"/>
      <w:tabs>
        <w:tab w:val="clear" w:pos="4320"/>
        <w:tab w:val="clear" w:pos="8640"/>
      </w:tabs>
      <w:ind w:right="45"/>
      <w:rPr>
        <w:b/>
      </w:rPr>
    </w:pPr>
    <w:r w:rsidRPr="00D05D89">
      <w:rPr>
        <w:b/>
      </w:rPr>
      <w:t>International Journal of Evaluation and Research in Education (IJERE)</w:t>
    </w:r>
  </w:p>
  <w:p w:rsidR="004956F9" w:rsidRPr="003D5B84" w:rsidRDefault="004956F9" w:rsidP="008B04B3">
    <w:pPr>
      <w:pStyle w:val="Header"/>
      <w:tabs>
        <w:tab w:val="clear" w:pos="4320"/>
        <w:tab w:val="clear" w:pos="8640"/>
      </w:tabs>
      <w:ind w:right="45"/>
    </w:pPr>
    <w:r w:rsidRPr="003D5B84">
      <w:t>Vol.</w:t>
    </w:r>
    <w:r>
      <w:t xml:space="preserve"> 8</w:t>
    </w:r>
    <w:r w:rsidRPr="003D5B84">
      <w:t>, No.</w:t>
    </w:r>
    <w:r>
      <w:t xml:space="preserve"> 2</w:t>
    </w:r>
    <w:r w:rsidRPr="003D5B84">
      <w:t xml:space="preserve">, </w:t>
    </w:r>
    <w:r>
      <w:t>June</w:t>
    </w:r>
    <w:r w:rsidRPr="003D5B84">
      <w:t xml:space="preserve"> 201</w:t>
    </w:r>
    <w:r>
      <w:t>9</w:t>
    </w:r>
    <w:r w:rsidRPr="003D5B84">
      <w:t xml:space="preserve">, pp. </w:t>
    </w:r>
    <w:proofErr w:type="spellStart"/>
    <w:r w:rsidRPr="003D5B84">
      <w:t>xx~xx</w:t>
    </w:r>
    <w:proofErr w:type="spellEnd"/>
  </w:p>
  <w:p w:rsidR="004956F9" w:rsidRPr="003D5B84" w:rsidRDefault="004956F9" w:rsidP="00957C11">
    <w:pPr>
      <w:pStyle w:val="Header"/>
      <w:tabs>
        <w:tab w:val="clear" w:pos="4320"/>
        <w:tab w:val="clear" w:pos="8640"/>
        <w:tab w:val="left" w:pos="7938"/>
        <w:tab w:val="right" w:pos="8789"/>
      </w:tabs>
      <w:rPr>
        <w:rStyle w:val="PageNumber"/>
      </w:rPr>
    </w:pPr>
    <w:r w:rsidRPr="009C34A6">
      <w:t>ISSN: 2252-8822</w:t>
    </w:r>
    <w:r>
      <w:t xml:space="preserve">, </w:t>
    </w:r>
    <w:r w:rsidRPr="00847569">
      <w:t>DOI: 10.11591/</w:t>
    </w:r>
    <w:r>
      <w:t>ijere</w:t>
    </w:r>
    <w:r w:rsidRPr="00847569">
      <w:t>.</w:t>
    </w:r>
    <w:r>
      <w:t>v8.</w:t>
    </w:r>
    <w:r w:rsidRPr="00847569">
      <w:t>i</w:t>
    </w:r>
    <w:r>
      <w:t>2</w:t>
    </w:r>
    <w:r w:rsidRPr="00847569">
      <w:t>.</w:t>
    </w:r>
    <w:r>
      <w:t>xxxxx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897BFC">
      <w:rPr>
        <w:rStyle w:val="PageNumber"/>
        <w:noProof/>
      </w:rPr>
      <w:t>101</w:t>
    </w:r>
    <w:r w:rsidRPr="003D5B84">
      <w:rPr>
        <w:rStyle w:val="PageNumber"/>
      </w:rPr>
      <w:fldChar w:fldCharType="end"/>
    </w:r>
  </w:p>
  <w:p w:rsidR="004956F9" w:rsidRPr="003D5B84" w:rsidRDefault="004956F9"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8752" behindDoc="0" locked="0" layoutInCell="1" allowOverlap="1" wp14:anchorId="585C3047" wp14:editId="63B503C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CC567A"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2177"/>
    <w:multiLevelType w:val="hybridMultilevel"/>
    <w:tmpl w:val="9F52B42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09C39AE"/>
    <w:multiLevelType w:val="hybridMultilevel"/>
    <w:tmpl w:val="91341A64"/>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253762D9"/>
    <w:multiLevelType w:val="hybridMultilevel"/>
    <w:tmpl w:val="4B4E58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3318E1"/>
    <w:multiLevelType w:val="hybridMultilevel"/>
    <w:tmpl w:val="865E295C"/>
    <w:lvl w:ilvl="0" w:tplc="7042FE26">
      <w:start w:val="4"/>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16545"/>
    <w:multiLevelType w:val="hybridMultilevel"/>
    <w:tmpl w:val="9F52B42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2B86E31"/>
    <w:multiLevelType w:val="hybridMultilevel"/>
    <w:tmpl w:val="628AE3A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3C280BFF"/>
    <w:multiLevelType w:val="hybridMultilevel"/>
    <w:tmpl w:val="B84CD062"/>
    <w:lvl w:ilvl="0" w:tplc="FAE8466E">
      <w:start w:val="1"/>
      <w:numFmt w:val="decimal"/>
      <w:lvlText w:val="3.%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406C3866"/>
    <w:multiLevelType w:val="hybridMultilevel"/>
    <w:tmpl w:val="ADC85DAA"/>
    <w:lvl w:ilvl="0" w:tplc="3CFE6866">
      <w:start w:val="3"/>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52321F14"/>
    <w:multiLevelType w:val="hybridMultilevel"/>
    <w:tmpl w:val="6B368B4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4C4364F"/>
    <w:multiLevelType w:val="hybridMultilevel"/>
    <w:tmpl w:val="628AE3A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558B760B"/>
    <w:multiLevelType w:val="hybridMultilevel"/>
    <w:tmpl w:val="628AE3A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583540CE"/>
    <w:multiLevelType w:val="hybridMultilevel"/>
    <w:tmpl w:val="628AE3A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6">
    <w:nsid w:val="6F0A1CA8"/>
    <w:multiLevelType w:val="hybridMultilevel"/>
    <w:tmpl w:val="628AE3A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08D23DF"/>
    <w:multiLevelType w:val="hybridMultilevel"/>
    <w:tmpl w:val="628AE3A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10A69B0"/>
    <w:multiLevelType w:val="hybridMultilevel"/>
    <w:tmpl w:val="628AE3A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78C05C9"/>
    <w:multiLevelType w:val="hybridMultilevel"/>
    <w:tmpl w:val="6B368B4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9"/>
  </w:num>
  <w:num w:numId="3">
    <w:abstractNumId w:val="15"/>
  </w:num>
  <w:num w:numId="4">
    <w:abstractNumId w:val="14"/>
  </w:num>
  <w:num w:numId="5">
    <w:abstractNumId w:val="7"/>
  </w:num>
  <w:num w:numId="6">
    <w:abstractNumId w:val="3"/>
  </w:num>
  <w:num w:numId="7">
    <w:abstractNumId w:val="6"/>
  </w:num>
  <w:num w:numId="8">
    <w:abstractNumId w:val="1"/>
  </w:num>
  <w:num w:numId="9">
    <w:abstractNumId w:val="10"/>
  </w:num>
  <w:num w:numId="10">
    <w:abstractNumId w:val="17"/>
  </w:num>
  <w:num w:numId="11">
    <w:abstractNumId w:val="12"/>
  </w:num>
  <w:num w:numId="12">
    <w:abstractNumId w:val="18"/>
  </w:num>
  <w:num w:numId="13">
    <w:abstractNumId w:val="5"/>
  </w:num>
  <w:num w:numId="14">
    <w:abstractNumId w:val="11"/>
  </w:num>
  <w:num w:numId="15">
    <w:abstractNumId w:val="16"/>
  </w:num>
  <w:num w:numId="16">
    <w:abstractNumId w:val="8"/>
  </w:num>
  <w:num w:numId="17">
    <w:abstractNumId w:val="19"/>
  </w:num>
  <w:num w:numId="18">
    <w:abstractNumId w:val="4"/>
  </w:num>
  <w:num w:numId="19">
    <w:abstractNumId w:val="0"/>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3BA5"/>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92D"/>
    <w:rsid w:val="000A643C"/>
    <w:rsid w:val="000A7ACA"/>
    <w:rsid w:val="000B0641"/>
    <w:rsid w:val="000B1AEE"/>
    <w:rsid w:val="000B536F"/>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3A7B"/>
    <w:rsid w:val="000F433E"/>
    <w:rsid w:val="000F61E2"/>
    <w:rsid w:val="000F7ED5"/>
    <w:rsid w:val="0010046E"/>
    <w:rsid w:val="00102A61"/>
    <w:rsid w:val="001041EB"/>
    <w:rsid w:val="001045B1"/>
    <w:rsid w:val="00104BF1"/>
    <w:rsid w:val="00106F02"/>
    <w:rsid w:val="001078A8"/>
    <w:rsid w:val="00107904"/>
    <w:rsid w:val="001111B7"/>
    <w:rsid w:val="001129DE"/>
    <w:rsid w:val="0011369D"/>
    <w:rsid w:val="00113F18"/>
    <w:rsid w:val="00114470"/>
    <w:rsid w:val="00114A16"/>
    <w:rsid w:val="00117326"/>
    <w:rsid w:val="001178EA"/>
    <w:rsid w:val="00117C85"/>
    <w:rsid w:val="00120769"/>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0BF5"/>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3227"/>
    <w:rsid w:val="001B4AB3"/>
    <w:rsid w:val="001B5250"/>
    <w:rsid w:val="001B5719"/>
    <w:rsid w:val="001B621C"/>
    <w:rsid w:val="001B64D0"/>
    <w:rsid w:val="001B7915"/>
    <w:rsid w:val="001C0FE6"/>
    <w:rsid w:val="001C19EB"/>
    <w:rsid w:val="001C1DDC"/>
    <w:rsid w:val="001C7AC5"/>
    <w:rsid w:val="001D04CA"/>
    <w:rsid w:val="001D19C3"/>
    <w:rsid w:val="001D218B"/>
    <w:rsid w:val="001D720B"/>
    <w:rsid w:val="001E1922"/>
    <w:rsid w:val="001E19EF"/>
    <w:rsid w:val="001E2071"/>
    <w:rsid w:val="001E31DF"/>
    <w:rsid w:val="001E5580"/>
    <w:rsid w:val="001E5CFB"/>
    <w:rsid w:val="001E608B"/>
    <w:rsid w:val="001E69C1"/>
    <w:rsid w:val="001E7DCD"/>
    <w:rsid w:val="001E7FFA"/>
    <w:rsid w:val="001F0AFC"/>
    <w:rsid w:val="001F470F"/>
    <w:rsid w:val="001F4ACD"/>
    <w:rsid w:val="001F5303"/>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37E78"/>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4917"/>
    <w:rsid w:val="00291EBF"/>
    <w:rsid w:val="00296D8E"/>
    <w:rsid w:val="002A0772"/>
    <w:rsid w:val="002B0601"/>
    <w:rsid w:val="002B10C7"/>
    <w:rsid w:val="002B66EF"/>
    <w:rsid w:val="002B6EC9"/>
    <w:rsid w:val="002B7609"/>
    <w:rsid w:val="002B7A42"/>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40FD"/>
    <w:rsid w:val="00326170"/>
    <w:rsid w:val="003263E9"/>
    <w:rsid w:val="00326D35"/>
    <w:rsid w:val="00331183"/>
    <w:rsid w:val="00332063"/>
    <w:rsid w:val="00333AB9"/>
    <w:rsid w:val="00333C06"/>
    <w:rsid w:val="0033459B"/>
    <w:rsid w:val="00335BE8"/>
    <w:rsid w:val="00337C87"/>
    <w:rsid w:val="00342277"/>
    <w:rsid w:val="0034265F"/>
    <w:rsid w:val="00343A49"/>
    <w:rsid w:val="0034452C"/>
    <w:rsid w:val="00346441"/>
    <w:rsid w:val="00346A74"/>
    <w:rsid w:val="003475EC"/>
    <w:rsid w:val="0035076B"/>
    <w:rsid w:val="00352BEB"/>
    <w:rsid w:val="00353885"/>
    <w:rsid w:val="00361EB1"/>
    <w:rsid w:val="003629D1"/>
    <w:rsid w:val="003637CE"/>
    <w:rsid w:val="003715EC"/>
    <w:rsid w:val="00373753"/>
    <w:rsid w:val="003751C8"/>
    <w:rsid w:val="00376867"/>
    <w:rsid w:val="00376A96"/>
    <w:rsid w:val="003772AC"/>
    <w:rsid w:val="003775CE"/>
    <w:rsid w:val="00381E56"/>
    <w:rsid w:val="003826FF"/>
    <w:rsid w:val="00391FE5"/>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196"/>
    <w:rsid w:val="003D5B84"/>
    <w:rsid w:val="003D5C0A"/>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3FA1"/>
    <w:rsid w:val="00406310"/>
    <w:rsid w:val="0040726F"/>
    <w:rsid w:val="00407351"/>
    <w:rsid w:val="00407C2D"/>
    <w:rsid w:val="004106DF"/>
    <w:rsid w:val="00411A71"/>
    <w:rsid w:val="00411C0C"/>
    <w:rsid w:val="0041364A"/>
    <w:rsid w:val="0041399A"/>
    <w:rsid w:val="00414535"/>
    <w:rsid w:val="00414EA0"/>
    <w:rsid w:val="00420D64"/>
    <w:rsid w:val="00424E85"/>
    <w:rsid w:val="00425BE9"/>
    <w:rsid w:val="00427072"/>
    <w:rsid w:val="004305E7"/>
    <w:rsid w:val="004309C8"/>
    <w:rsid w:val="0043585C"/>
    <w:rsid w:val="00440C79"/>
    <w:rsid w:val="00441F35"/>
    <w:rsid w:val="00443205"/>
    <w:rsid w:val="004439D2"/>
    <w:rsid w:val="004503E9"/>
    <w:rsid w:val="00453463"/>
    <w:rsid w:val="004550E4"/>
    <w:rsid w:val="004637E8"/>
    <w:rsid w:val="00467368"/>
    <w:rsid w:val="004674CD"/>
    <w:rsid w:val="004701EE"/>
    <w:rsid w:val="004710EE"/>
    <w:rsid w:val="00472E56"/>
    <w:rsid w:val="004740EC"/>
    <w:rsid w:val="004819CF"/>
    <w:rsid w:val="00481DA2"/>
    <w:rsid w:val="00482432"/>
    <w:rsid w:val="00484866"/>
    <w:rsid w:val="004859D6"/>
    <w:rsid w:val="00485FD1"/>
    <w:rsid w:val="0048797E"/>
    <w:rsid w:val="00487DD3"/>
    <w:rsid w:val="004902C8"/>
    <w:rsid w:val="004905D4"/>
    <w:rsid w:val="00491AAB"/>
    <w:rsid w:val="00492E44"/>
    <w:rsid w:val="004947B9"/>
    <w:rsid w:val="0049514C"/>
    <w:rsid w:val="004956F9"/>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D790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350"/>
    <w:rsid w:val="00501713"/>
    <w:rsid w:val="00505F41"/>
    <w:rsid w:val="0050794C"/>
    <w:rsid w:val="0051075B"/>
    <w:rsid w:val="00511236"/>
    <w:rsid w:val="00511539"/>
    <w:rsid w:val="00511CB2"/>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65197"/>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78"/>
    <w:rsid w:val="005C11D6"/>
    <w:rsid w:val="005C12EA"/>
    <w:rsid w:val="005C1759"/>
    <w:rsid w:val="005C234E"/>
    <w:rsid w:val="005D02EE"/>
    <w:rsid w:val="005D0C1B"/>
    <w:rsid w:val="005D210E"/>
    <w:rsid w:val="005D3D27"/>
    <w:rsid w:val="005D464B"/>
    <w:rsid w:val="005D7D3A"/>
    <w:rsid w:val="005D7EB1"/>
    <w:rsid w:val="005E5975"/>
    <w:rsid w:val="005E6EF7"/>
    <w:rsid w:val="005E736A"/>
    <w:rsid w:val="005E75FC"/>
    <w:rsid w:val="005F042D"/>
    <w:rsid w:val="005F2D22"/>
    <w:rsid w:val="005F3D1C"/>
    <w:rsid w:val="005F534C"/>
    <w:rsid w:val="005F5AD4"/>
    <w:rsid w:val="005F75F8"/>
    <w:rsid w:val="006044C7"/>
    <w:rsid w:val="006123B6"/>
    <w:rsid w:val="00613977"/>
    <w:rsid w:val="0061627D"/>
    <w:rsid w:val="006206C7"/>
    <w:rsid w:val="00622EC4"/>
    <w:rsid w:val="0062488B"/>
    <w:rsid w:val="00627E21"/>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6261"/>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234"/>
    <w:rsid w:val="00725F6A"/>
    <w:rsid w:val="007264E3"/>
    <w:rsid w:val="00731AEB"/>
    <w:rsid w:val="00737CDC"/>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3937"/>
    <w:rsid w:val="00784C44"/>
    <w:rsid w:val="0078585E"/>
    <w:rsid w:val="007912CE"/>
    <w:rsid w:val="0079451D"/>
    <w:rsid w:val="00795966"/>
    <w:rsid w:val="007A04C8"/>
    <w:rsid w:val="007A3102"/>
    <w:rsid w:val="007A3B30"/>
    <w:rsid w:val="007A3FC0"/>
    <w:rsid w:val="007A49BA"/>
    <w:rsid w:val="007A609F"/>
    <w:rsid w:val="007A7484"/>
    <w:rsid w:val="007B2F22"/>
    <w:rsid w:val="007B3EF9"/>
    <w:rsid w:val="007B5455"/>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14E9"/>
    <w:rsid w:val="008024F6"/>
    <w:rsid w:val="00803B96"/>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678EA"/>
    <w:rsid w:val="0087156B"/>
    <w:rsid w:val="00872D7E"/>
    <w:rsid w:val="00874279"/>
    <w:rsid w:val="008754E6"/>
    <w:rsid w:val="0087776F"/>
    <w:rsid w:val="0088233C"/>
    <w:rsid w:val="0088280A"/>
    <w:rsid w:val="00883EB7"/>
    <w:rsid w:val="008922FE"/>
    <w:rsid w:val="00892C9F"/>
    <w:rsid w:val="00892FBD"/>
    <w:rsid w:val="00893AD8"/>
    <w:rsid w:val="00893D2C"/>
    <w:rsid w:val="00894D11"/>
    <w:rsid w:val="0089523F"/>
    <w:rsid w:val="008967E5"/>
    <w:rsid w:val="00897BCF"/>
    <w:rsid w:val="00897BFC"/>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D2282"/>
    <w:rsid w:val="008D28A9"/>
    <w:rsid w:val="008D3BDF"/>
    <w:rsid w:val="008D7EA2"/>
    <w:rsid w:val="008E0F80"/>
    <w:rsid w:val="008E1CA4"/>
    <w:rsid w:val="008E3A3A"/>
    <w:rsid w:val="008E3FAA"/>
    <w:rsid w:val="008E737C"/>
    <w:rsid w:val="008F04A3"/>
    <w:rsid w:val="008F05B8"/>
    <w:rsid w:val="008F0C9D"/>
    <w:rsid w:val="008F0D5A"/>
    <w:rsid w:val="008F1C12"/>
    <w:rsid w:val="008F5A4B"/>
    <w:rsid w:val="008F5EF9"/>
    <w:rsid w:val="008F5F6F"/>
    <w:rsid w:val="0090038E"/>
    <w:rsid w:val="00900EC1"/>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36281"/>
    <w:rsid w:val="009406FF"/>
    <w:rsid w:val="00941203"/>
    <w:rsid w:val="009416C1"/>
    <w:rsid w:val="0094367D"/>
    <w:rsid w:val="00943FA1"/>
    <w:rsid w:val="00945A5C"/>
    <w:rsid w:val="00946389"/>
    <w:rsid w:val="009463E0"/>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A1E3A"/>
    <w:rsid w:val="009B3EC0"/>
    <w:rsid w:val="009B5102"/>
    <w:rsid w:val="009B5FE8"/>
    <w:rsid w:val="009B62B1"/>
    <w:rsid w:val="009B76C2"/>
    <w:rsid w:val="009C080D"/>
    <w:rsid w:val="009C34A6"/>
    <w:rsid w:val="009C5293"/>
    <w:rsid w:val="009D41DF"/>
    <w:rsid w:val="009D709E"/>
    <w:rsid w:val="009E0249"/>
    <w:rsid w:val="009E04BE"/>
    <w:rsid w:val="009E055A"/>
    <w:rsid w:val="009E0F0F"/>
    <w:rsid w:val="009E36AC"/>
    <w:rsid w:val="009E4FB4"/>
    <w:rsid w:val="009E5694"/>
    <w:rsid w:val="009E585B"/>
    <w:rsid w:val="009E7D5A"/>
    <w:rsid w:val="009F040E"/>
    <w:rsid w:val="00A01765"/>
    <w:rsid w:val="00A02DD3"/>
    <w:rsid w:val="00A04D6C"/>
    <w:rsid w:val="00A05622"/>
    <w:rsid w:val="00A100B6"/>
    <w:rsid w:val="00A10A7A"/>
    <w:rsid w:val="00A1136A"/>
    <w:rsid w:val="00A16250"/>
    <w:rsid w:val="00A17296"/>
    <w:rsid w:val="00A17D28"/>
    <w:rsid w:val="00A21621"/>
    <w:rsid w:val="00A22457"/>
    <w:rsid w:val="00A22900"/>
    <w:rsid w:val="00A27BF0"/>
    <w:rsid w:val="00A31E71"/>
    <w:rsid w:val="00A3340E"/>
    <w:rsid w:val="00A34429"/>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53F"/>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3E29"/>
    <w:rsid w:val="00AD4003"/>
    <w:rsid w:val="00AD4DF3"/>
    <w:rsid w:val="00AD564C"/>
    <w:rsid w:val="00AD7639"/>
    <w:rsid w:val="00AE3182"/>
    <w:rsid w:val="00AE43A3"/>
    <w:rsid w:val="00AF095A"/>
    <w:rsid w:val="00AF1119"/>
    <w:rsid w:val="00AF59C3"/>
    <w:rsid w:val="00AF7F59"/>
    <w:rsid w:val="00B011BB"/>
    <w:rsid w:val="00B012F2"/>
    <w:rsid w:val="00B0163B"/>
    <w:rsid w:val="00B04312"/>
    <w:rsid w:val="00B04BFC"/>
    <w:rsid w:val="00B0539A"/>
    <w:rsid w:val="00B06669"/>
    <w:rsid w:val="00B06F09"/>
    <w:rsid w:val="00B07DF0"/>
    <w:rsid w:val="00B14782"/>
    <w:rsid w:val="00B148C9"/>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722"/>
    <w:rsid w:val="00B37E57"/>
    <w:rsid w:val="00B42FA5"/>
    <w:rsid w:val="00B46C52"/>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BD6"/>
    <w:rsid w:val="00BB6E3C"/>
    <w:rsid w:val="00BC06CF"/>
    <w:rsid w:val="00BC133D"/>
    <w:rsid w:val="00BC3E9C"/>
    <w:rsid w:val="00BC4AF5"/>
    <w:rsid w:val="00BC5AA5"/>
    <w:rsid w:val="00BC7CC2"/>
    <w:rsid w:val="00BD049F"/>
    <w:rsid w:val="00BD0CC5"/>
    <w:rsid w:val="00BD0E9D"/>
    <w:rsid w:val="00BD218A"/>
    <w:rsid w:val="00BD399A"/>
    <w:rsid w:val="00BD557E"/>
    <w:rsid w:val="00BD5B18"/>
    <w:rsid w:val="00BD5F64"/>
    <w:rsid w:val="00BE0201"/>
    <w:rsid w:val="00BE3232"/>
    <w:rsid w:val="00BE520C"/>
    <w:rsid w:val="00BF16AD"/>
    <w:rsid w:val="00BF2C8B"/>
    <w:rsid w:val="00BF34A7"/>
    <w:rsid w:val="00BF3B14"/>
    <w:rsid w:val="00BF6218"/>
    <w:rsid w:val="00BF79C2"/>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181"/>
    <w:rsid w:val="00CA5D84"/>
    <w:rsid w:val="00CC1960"/>
    <w:rsid w:val="00CC3E33"/>
    <w:rsid w:val="00CD1854"/>
    <w:rsid w:val="00CD4F70"/>
    <w:rsid w:val="00CE1CF3"/>
    <w:rsid w:val="00CE70F3"/>
    <w:rsid w:val="00CE7659"/>
    <w:rsid w:val="00CF0E18"/>
    <w:rsid w:val="00CF29A4"/>
    <w:rsid w:val="00CF2F2E"/>
    <w:rsid w:val="00CF624D"/>
    <w:rsid w:val="00CF6E34"/>
    <w:rsid w:val="00D0495F"/>
    <w:rsid w:val="00D05D89"/>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39C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07E1"/>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929"/>
    <w:rsid w:val="00DF4CE2"/>
    <w:rsid w:val="00E0168F"/>
    <w:rsid w:val="00E12071"/>
    <w:rsid w:val="00E12660"/>
    <w:rsid w:val="00E12838"/>
    <w:rsid w:val="00E15BBF"/>
    <w:rsid w:val="00E15ECD"/>
    <w:rsid w:val="00E23F00"/>
    <w:rsid w:val="00E2599A"/>
    <w:rsid w:val="00E26A0F"/>
    <w:rsid w:val="00E318D4"/>
    <w:rsid w:val="00E339EE"/>
    <w:rsid w:val="00E34D52"/>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6BE0"/>
    <w:rsid w:val="00E7790B"/>
    <w:rsid w:val="00E81714"/>
    <w:rsid w:val="00E8573C"/>
    <w:rsid w:val="00E91546"/>
    <w:rsid w:val="00E91678"/>
    <w:rsid w:val="00E9206E"/>
    <w:rsid w:val="00E93438"/>
    <w:rsid w:val="00E93F64"/>
    <w:rsid w:val="00E96092"/>
    <w:rsid w:val="00E96737"/>
    <w:rsid w:val="00EA0668"/>
    <w:rsid w:val="00EA127F"/>
    <w:rsid w:val="00EA1F53"/>
    <w:rsid w:val="00EA4376"/>
    <w:rsid w:val="00EA5ED8"/>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0A5E"/>
    <w:rsid w:val="00F027E9"/>
    <w:rsid w:val="00F05C6A"/>
    <w:rsid w:val="00F0775E"/>
    <w:rsid w:val="00F15F69"/>
    <w:rsid w:val="00F1612D"/>
    <w:rsid w:val="00F173DD"/>
    <w:rsid w:val="00F21119"/>
    <w:rsid w:val="00F25164"/>
    <w:rsid w:val="00F27190"/>
    <w:rsid w:val="00F277D3"/>
    <w:rsid w:val="00F30997"/>
    <w:rsid w:val="00F32896"/>
    <w:rsid w:val="00F33C08"/>
    <w:rsid w:val="00F41AE7"/>
    <w:rsid w:val="00F41B74"/>
    <w:rsid w:val="00F41F44"/>
    <w:rsid w:val="00F42D17"/>
    <w:rsid w:val="00F457A0"/>
    <w:rsid w:val="00F46492"/>
    <w:rsid w:val="00F477B5"/>
    <w:rsid w:val="00F47B01"/>
    <w:rsid w:val="00F5057E"/>
    <w:rsid w:val="00F52E67"/>
    <w:rsid w:val="00F53410"/>
    <w:rsid w:val="00F541F8"/>
    <w:rsid w:val="00F5470A"/>
    <w:rsid w:val="00F551E6"/>
    <w:rsid w:val="00F5563D"/>
    <w:rsid w:val="00F56891"/>
    <w:rsid w:val="00F606F8"/>
    <w:rsid w:val="00F64CD4"/>
    <w:rsid w:val="00F64F37"/>
    <w:rsid w:val="00F65AB2"/>
    <w:rsid w:val="00F73E78"/>
    <w:rsid w:val="00F740C2"/>
    <w:rsid w:val="00F7591E"/>
    <w:rsid w:val="00F75EF9"/>
    <w:rsid w:val="00F77A9B"/>
    <w:rsid w:val="00F81F14"/>
    <w:rsid w:val="00F83035"/>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763A"/>
    <w:rsid w:val="00FB79C0"/>
    <w:rsid w:val="00FC2EB8"/>
    <w:rsid w:val="00FC5C43"/>
    <w:rsid w:val="00FD1598"/>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awal,List Paragraph2,Body of text,Heading 1 Char1,1.2 Ds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Author">
    <w:name w:val="Author"/>
    <w:basedOn w:val="Normal"/>
    <w:rsid w:val="003D5196"/>
    <w:pPr>
      <w:jc w:val="center"/>
    </w:pPr>
    <w:rPr>
      <w:b/>
      <w:sz w:val="24"/>
      <w:szCs w:val="24"/>
    </w:rPr>
  </w:style>
  <w:style w:type="character" w:customStyle="1" w:styleId="ListParagraphChar">
    <w:name w:val="List Paragraph Char"/>
    <w:aliases w:val="awal Char,List Paragraph2 Char,Body of text Char,Heading 1 Char1 Char,1.2 Dst... Char,List Paragraph1 Char"/>
    <w:basedOn w:val="DefaultParagraphFont"/>
    <w:link w:val="ListParagraph"/>
    <w:uiPriority w:val="34"/>
    <w:locked/>
    <w:rsid w:val="00A10A7A"/>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awal,List Paragraph2,Body of text,Heading 1 Char1,1.2 Ds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Author">
    <w:name w:val="Author"/>
    <w:basedOn w:val="Normal"/>
    <w:rsid w:val="003D5196"/>
    <w:pPr>
      <w:jc w:val="center"/>
    </w:pPr>
    <w:rPr>
      <w:b/>
      <w:sz w:val="24"/>
      <w:szCs w:val="24"/>
    </w:rPr>
  </w:style>
  <w:style w:type="character" w:customStyle="1" w:styleId="ListParagraphChar">
    <w:name w:val="List Paragraph Char"/>
    <w:aliases w:val="awal Char,List Paragraph2 Char,Body of text Char,Heading 1 Char1 Char,1.2 Dst... Char,List Paragraph1 Char"/>
    <w:basedOn w:val="DefaultParagraphFont"/>
    <w:link w:val="ListParagraph"/>
    <w:uiPriority w:val="34"/>
    <w:locked/>
    <w:rsid w:val="00A10A7A"/>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uci.ayu@ikm.uad.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9BA44-BE88-4BC0-93E3-E38EF392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8176</Words>
  <Characters>46609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54676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DOSEN</cp:lastModifiedBy>
  <cp:revision>15</cp:revision>
  <cp:lastPrinted>2004-12-30T03:27:00Z</cp:lastPrinted>
  <dcterms:created xsi:type="dcterms:W3CDTF">2019-11-27T03:23:00Z</dcterms:created>
  <dcterms:modified xsi:type="dcterms:W3CDTF">2019-12-02T02:16:00Z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Unique User Id_1">
    <vt:lpwstr>c7d52062-6840-344e-a8be-78f5081872d5</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